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In-person IRB written consent execution at the Month 0 visit</w:t>
      </w:r>
    </w:p>
    <w:p>
      <w:pPr>
        <w:pStyle w:val="callout-warning"/>
      </w:pPr>
      <w:r>
        <w:rPr>
          <w:b/>
          <w:bCs/>
        </w:rPr>
        <w:t xml:space="preserve">DRAFT</w:t>
      </w:r>
      <w:r>
        <w:t xml:space="preserve"> </w:t>
      </w:r>
      <w:r>
        <w:t xml:space="preserve">— clinical content pending Marrero + Healthcare Data Governance review. Do not use operationally. This document is rendered from the use-case spec at</w:t>
      </w:r>
      <w:r>
        <w:t xml:space="preserve"> </w:t>
      </w:r>
      <w:r>
        <w:rPr>
          <w:rStyle w:val="VerbatimChar"/>
        </w:rPr>
        <w:t xml:space="preserve">use-cases/written-consent-execution/</w:t>
      </w:r>
      <w:r>
        <w:t xml:space="preserve">; corrections land in the source fragments, not in this rendered output.</w:t>
      </w:r>
    </w:p>
    <w:p>
      <w:pPr>
        <w:pStyle w:val="Heading2"/>
      </w:pPr>
      <w:r>
        <w:t xml:space="preserve">Who this is for and what it covers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Registered Dietitians executing IRB written consent at the Month 0 in-person visit, and Program Administrators digitizing signed forms into Athena.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Visit arrival through participant signature, cross-medium hand-off to administrator, digitization, and Athena PDF storage.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not cover</w:t>
            </w:r>
          </w:p>
        </w:tc>
        <w:tc>
          <w:tcPr/>
          <w:p>
            <w:pPr>
              <w:pStyle w:val="Compact"/>
            </w:pPr>
            <w:r>
              <w:t xml:space="preserve">Decline-to-sign downstream procedure (no documented path); remote or digital consent (not permitted for Month 0); baseline assessment (separate procedure — gated by signed consent).</w:t>
            </w:r>
          </w:p>
        </w:tc>
      </w:tr>
    </w:tbl>
    <w:p>
      <w:pPr>
        <w:pStyle w:val="Heading2"/>
      </w:pPr>
      <w:r>
        <w:t xml:space="preserve">When the Month 0 visit fires the trigger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participant arrives at the UConn site for their Month 0 in-person visit.</w:t>
      </w:r>
      <w:r>
        <w:t xml:space="preserve"> </w:t>
      </w:r>
      <w:r>
        <w:t xml:space="preserve">The Registered Dietitian confirms participant identity, reviews the visit purpose, and prepares the IRB-approved paper consent form before any other visit activities begin.</w:t>
      </w:r>
    </w:p>
    <w:p>
      <w:pPr>
        <w:numPr>
          <w:ilvl w:val="0"/>
          <w:numId w:val="1000"/>
        </w:numPr>
      </w:pPr>
      <w:r>
        <w:t xml:space="preserve">No remote or digital substitute is permitted for the Month 0 consent execution. The consent must be written, in person, on paper.</w:t>
      </w:r>
    </w:p>
    <w:p>
      <w:pPr>
        <w:pStyle w:val="callout-warning"/>
        <w:numPr>
          <w:ilvl w:val="0"/>
          <w:numId w:val="1000"/>
        </w:numPr>
      </w:pPr>
      <w:r>
        <w:rPr>
          <w:b/>
          <w:bCs/>
        </w:rPr>
        <w:t xml:space="preserve">Witness requirement pending Marrero.</w:t>
      </w:r>
      <w:r>
        <w:t xml:space="preserve"> </w:t>
      </w:r>
      <w:r>
        <w:t xml:space="preserve">Some IRB-compliant written-consent protocols require a separate witness signature beyond the executor. Whether the UConn IRB protocol for this study requires a witness, or treats the RD-as-executor as the witness, is unconfirmed. If a witness is required, the visit cannot proceed to signing until both RD and a designated witness are present.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participant reviews and signs the IRB consent form.</w:t>
      </w:r>
      <w:r>
        <w:t xml:space="preserve"> </w:t>
      </w:r>
      <w:r>
        <w:t xml:space="preserve">The RD walks the participant through the form’s contents — study purpose, procedures, risks and benefits, voluntariness, confidentiality, contact-for-questions language — and answers any clarifying questions. The participant either signs or declines.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Signs.</w:t>
      </w:r>
      <w:r>
        <w:t xml:space="preserve"> </w:t>
      </w:r>
      <w:r>
        <w:t xml:space="preserve">The participant signs and dates the form by hand. The RD signs as executor (and as witness if IRB protocol permits). The signed paper form proceeds to hand-off (next step).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Declines.</w:t>
      </w:r>
      <w:r>
        <w:t xml:space="preserve"> </w:t>
      </w:r>
      <w:r>
        <w:t xml:space="preserve">The participant declines to sign. The case routes out of scope for this procedure. There is no documented downstream pathway.</w:t>
      </w:r>
    </w:p>
    <w:p>
      <w:pPr>
        <w:pStyle w:val="callout-error"/>
        <w:numPr>
          <w:ilvl w:val="0"/>
          <w:numId w:val="1000"/>
        </w:numPr>
      </w:pPr>
      <w:r>
        <w:rPr>
          <w:b/>
          <w:bCs/>
        </w:rPr>
        <w:t xml:space="preserve">Decline-to-sign path undocumented — structural gap.</w:t>
      </w:r>
      <w:r>
        <w:t xml:space="preserve"> </w:t>
      </w:r>
      <w:r>
        <w:t xml:space="preserve">The parent SoP does not specify what happens if the participant declines at the visit. There is no documented re-consent pathway (can the participant change their mind later?), no documented reschedule procedure (can the Month 0 visit be re-attempted?), and no documented termination-of-enrollment procedure (what happens to participant data already collected?). Pending Marrero clarification.</w:t>
      </w:r>
    </w:p>
    <w:p>
      <w:pPr>
        <w:pStyle w:val="callout-warning"/>
        <w:numPr>
          <w:ilvl w:val="0"/>
          <w:numId w:val="1000"/>
        </w:numPr>
      </w:pPr>
      <w:r>
        <w:rPr>
          <w:b/>
          <w:bCs/>
        </w:rPr>
        <w:t xml:space="preserve">Patient-as-attestor — structural shape worth surfacing.</w:t>
      </w:r>
      <w:r>
        <w:t xml:space="preserve"> </w:t>
      </w:r>
      <w:r>
        <w:t xml:space="preserve">In every other use case in the current catalog, the attestor is a clinician or named operations role. This is the only one where the attestor is the participant — the participant’s handwritten signature on the paper form is the attestation. Audit-chain treatment of a non-staff attestor’s identity (participant ID rather than staff role + signature) needs explicit handling and will recur in future patient-facing consent use cases.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RD hands the signed paper form to the Program Administrator the same day.</w:t>
      </w:r>
      <w:r>
        <w:t xml:space="preserve"> </w:t>
      </w:r>
      <w:r>
        <w:t xml:space="preserve">This is the cross-medium transition that defines this procedure’s structural shape: the consent attestation lives on paper, but the system-of-record needs a PDF on the participant’s Athena chart. The administrator is the human bridge between media.</w:t>
      </w:r>
    </w:p>
    <w:p>
      <w:pPr>
        <w:numPr>
          <w:ilvl w:val="0"/>
          <w:numId w:val="1000"/>
        </w:numPr>
      </w:pPr>
      <w:r>
        <w:t xml:space="preserve">The administrator acknowledges receipt before close of business on the visit day. If the administrator is unavailable the same day, the RD retains the paper in chain-of-custody-preserving storage and re-attempts the next business day, flagging a consent-delay note for clinical-lead awareness.</w:t>
      </w:r>
    </w:p>
    <w:p>
      <w:pPr>
        <w:pStyle w:val="callout-warning"/>
        <w:numPr>
          <w:ilvl w:val="0"/>
          <w:numId w:val="1000"/>
        </w:numPr>
      </w:pPr>
      <w:r>
        <w:rPr>
          <w:b/>
          <w:bCs/>
        </w:rPr>
        <w:t xml:space="preserve">Chain-of-custody for the paper between signing and administrator pickup is unspecified.</w:t>
      </w:r>
      <w:r>
        <w:t xml:space="preserve"> </w:t>
      </w:r>
      <w:r>
        <w:t xml:space="preserve">Whether the paper lives in the RD’s locked drawer, in a sealed envelope, or in direct hand-to-hand transfer immediately after the visit is pending Marrero / administrator SoP. Each option carries different chain-of-custody risk.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Program Administrator digitizes the signed paper and uploads the PDF to the participant’s Athena record.</w:t>
      </w:r>
      <w:r>
        <w:t xml:space="preserve"> </w:t>
      </w:r>
      <w:r>
        <w:t xml:space="preserve">The administrator scans or photographs the full form (both sides if double-sided), assembles a single PDF, locates the participant record in Athena by MRN or name + DOB match, and uploads the PDF under the IRB-consent document category. The paper original is filed or destroyed per UConn IRB retention policy.</w:t>
      </w:r>
    </w:p>
    <w:p>
      <w:pPr>
        <w:pStyle w:val="callout-error"/>
        <w:numPr>
          <w:ilvl w:val="0"/>
          <w:numId w:val="1000"/>
        </w:numPr>
      </w:pPr>
      <w:r>
        <w:rPr>
          <w:b/>
          <w:bCs/>
        </w:rPr>
        <w:t xml:space="preserve">PDF-landed verification missing — structural gap.</w:t>
      </w:r>
      <w:r>
        <w:t xml:space="preserve"> </w:t>
      </w:r>
      <w:r>
        <w:t xml:space="preserve">No explicit audit step confirms the digitized PDF reached the Athena participant record before downstream care-plan work proceeds. A failed upload (Athena unavailable, wrong patient match, miscategorized document) could allow baseline assessment to proceed against a participant whose consent is not actually on record. Pending Marrero.</w:t>
      </w:r>
    </w:p>
    <w:p>
      <w:pPr>
        <w:pStyle w:val="Heading2"/>
      </w:pPr>
      <w:r>
        <w:t xml:space="preserve">Hand-off package — what the RD hands the administrator</w:t>
      </w:r>
    </w:p>
    <w:p>
      <w:pPr>
        <w:pStyle w:val="card-title"/>
      </w:pPr>
      <w:r>
        <w:t xml:space="preserve">Hand-off package contents</w:t>
      </w:r>
    </w:p>
    <w:p>
      <w:pPr>
        <w:pStyle w:val="Compact"/>
        <w:numPr>
          <w:ilvl w:val="0"/>
          <w:numId w:val="1002"/>
        </w:numPr>
      </w:pPr>
      <w:r>
        <w:t xml:space="preserve">Signed paper consent form (the physical artifact, signed and dated by participant; signed by RD as executor)</w:t>
      </w:r>
    </w:p>
    <w:p>
      <w:pPr>
        <w:pStyle w:val="Compact"/>
        <w:numPr>
          <w:ilvl w:val="0"/>
          <w:numId w:val="1002"/>
        </w:numPr>
      </w:pPr>
      <w:r>
        <w:t xml:space="preserve">Participant identifier — name + MRN handwritten on form during signing (so administrator can route the digitized PDF to the correct Athena participant record)</w:t>
      </w:r>
    </w:p>
    <w:p>
      <w:pPr>
        <w:pStyle w:val="Compact"/>
        <w:numPr>
          <w:ilvl w:val="0"/>
          <w:numId w:val="1002"/>
        </w:numPr>
      </w:pPr>
      <w:r>
        <w:t xml:space="preserve">Visit date — handwritten on form by participant; serves as the official consent-execution date for IRB audit</w:t>
      </w:r>
    </w:p>
    <w:p>
      <w:pPr>
        <w:pStyle w:val="Heading2"/>
      </w:pPr>
      <w:r>
        <w:t xml:space="preserve">Escalation — when this routes elsewhere</w:t>
      </w:r>
    </w:p>
    <w:p>
      <w:pPr>
        <w:pStyle w:val="escalation"/>
      </w:pPr>
      <w:r>
        <w:rPr>
          <w:b/>
          <w:bCs/>
        </w:rPr>
        <w:t xml:space="preserve">If the participant declines to sign</w:t>
      </w:r>
      <w:r>
        <w:t xml:space="preserve"> </w:t>
      </w:r>
      <w:r>
        <w:t xml:space="preserve">— this procedure ends and routes to an undocumented out-of-scope pathway. No re-consent, reschedule, or termination procedure exists in the current SoP. Pending Marrero.</w:t>
      </w:r>
    </w:p>
    <w:p>
      <w:pPr>
        <w:pStyle w:val="escalation"/>
      </w:pPr>
      <w:r>
        <w:rPr>
          <w:b/>
          <w:bCs/>
        </w:rPr>
        <w:t xml:space="preserve">If the administrator is unavailable on the visit day</w:t>
      </w:r>
      <w:r>
        <w:t xml:space="preserve"> </w:t>
      </w:r>
      <w:r>
        <w:t xml:space="preserve">— the RD retains the signed paper in chain-of-custody-preserving storage and re-attempts hand-off the next business day. A consent-delay note is flagged for clinical-lead awareness.</w:t>
      </w:r>
    </w:p>
    <w:p>
      <w:pPr>
        <w:pStyle w:val="escalation"/>
      </w:pPr>
      <w:r>
        <w:rPr>
          <w:b/>
          <w:bCs/>
        </w:rPr>
        <w:t xml:space="preserve">If Athena upload fails</w:t>
      </w:r>
      <w:r>
        <w:t xml:space="preserve"> </w:t>
      </w:r>
      <w:r>
        <w:t xml:space="preserve">— administrator recovery procedure is undocumented. Pending administrator SoP.</w:t>
      </w:r>
    </w:p>
    <w:p>
      <w:pPr>
        <w:pStyle w:val="escalation"/>
      </w:pPr>
      <w:r>
        <w:rPr>
          <w:b/>
          <w:bCs/>
        </w:rPr>
        <w:t xml:space="preserve">If consent is not on the Athena record before baseline assessment is attempted</w:t>
      </w:r>
      <w:r>
        <w:t xml:space="preserve"> </w:t>
      </w:r>
      <w:r>
        <w:t xml:space="preserve">— the baseline assessment must not proceed. The PDF-landed verification gap means this check is currently a manual/trust step rather than a system-enforced gate.</w:t>
      </w:r>
    </w:p>
    <w:p>
      <w:pPr>
        <w:pStyle w:val="Heading2"/>
      </w:pPr>
      <w:r>
        <w:t xml:space="preserve">Each visit — the checklist</w:t>
      </w:r>
    </w:p>
    <w:p>
      <w:pPr>
        <w:pStyle w:val="card-title"/>
      </w:pPr>
      <w:r>
        <w:t xml:space="preserve">Per-visit checklist</w:t>
      </w:r>
    </w:p>
    <w:p>
      <w:pPr>
        <w:pStyle w:val="Compact"/>
        <w:numPr>
          <w:ilvl w:val="0"/>
          <w:numId w:val="1003"/>
        </w:numPr>
      </w:pPr>
      <w:r>
        <w:t xml:space="preserve">Participant identity confirmed at site arrival</w:t>
      </w:r>
    </w:p>
    <w:p>
      <w:pPr>
        <w:pStyle w:val="Compact"/>
        <w:numPr>
          <w:ilvl w:val="0"/>
          <w:numId w:val="1004"/>
        </w:numPr>
      </w:pPr>
      <w:r>
        <w:t xml:space="preserve">IRB-approved paper consent form (current revision) prepared</w:t>
      </w:r>
    </w:p>
    <w:p>
      <w:pPr>
        <w:pStyle w:val="Compact"/>
        <w:numPr>
          <w:ilvl w:val="0"/>
          <w:numId w:val="1005"/>
        </w:numPr>
      </w:pPr>
      <w:r>
        <w:t xml:space="preserve">RD walks the participant through the consent form contents</w:t>
      </w:r>
    </w:p>
    <w:p>
      <w:pPr>
        <w:pStyle w:val="Compact"/>
        <w:numPr>
          <w:ilvl w:val="0"/>
          <w:numId w:val="1006"/>
        </w:numPr>
      </w:pPr>
      <w:r>
        <w:t xml:space="preserve">Participant questions answered before signing</w:t>
      </w:r>
    </w:p>
    <w:p>
      <w:pPr>
        <w:pStyle w:val="Compact"/>
        <w:numPr>
          <w:ilvl w:val="0"/>
          <w:numId w:val="1007"/>
        </w:numPr>
      </w:pPr>
      <w:r>
        <w:t xml:space="preserve">Participant signs and dates the form by hand</w:t>
      </w:r>
    </w:p>
    <w:p>
      <w:pPr>
        <w:pStyle w:val="Compact"/>
        <w:numPr>
          <w:ilvl w:val="0"/>
          <w:numId w:val="1008"/>
        </w:numPr>
      </w:pPr>
      <w:r>
        <w:t xml:space="preserve">RD signs as executor (and witness if IRB-required)</w:t>
      </w:r>
    </w:p>
    <w:p>
      <w:pPr>
        <w:pStyle w:val="Compact"/>
        <w:numPr>
          <w:ilvl w:val="0"/>
          <w:numId w:val="1009"/>
        </w:numPr>
      </w:pPr>
      <w:r>
        <w:t xml:space="preserve">Signed paper hand-delivered to Program Administrator the same day</w:t>
      </w:r>
    </w:p>
    <w:p>
      <w:pPr>
        <w:pStyle w:val="Compact"/>
        <w:numPr>
          <w:ilvl w:val="0"/>
          <w:numId w:val="1010"/>
        </w:numPr>
      </w:pPr>
      <w:r>
        <w:t xml:space="preserve">Administrator acknowledges receipt before close of business</w:t>
      </w:r>
    </w:p>
    <w:p>
      <w:pPr>
        <w:pStyle w:val="Compact"/>
        <w:numPr>
          <w:ilvl w:val="0"/>
          <w:numId w:val="1011"/>
        </w:numPr>
      </w:pPr>
      <w:r>
        <w:t xml:space="preserve">Administrator digitizes paper into single PDF</w:t>
      </w:r>
    </w:p>
    <w:p>
      <w:pPr>
        <w:pStyle w:val="Compact"/>
        <w:numPr>
          <w:ilvl w:val="0"/>
          <w:numId w:val="1012"/>
        </w:numPr>
      </w:pPr>
      <w:r>
        <w:t xml:space="preserve">PDF uploaded to participant Athena record under IRB-consent document category</w:t>
      </w:r>
    </w:p>
    <w:p>
      <w:pPr>
        <w:pStyle w:val="Compact"/>
        <w:numPr>
          <w:ilvl w:val="0"/>
          <w:numId w:val="1013"/>
        </w:numPr>
      </w:pPr>
      <w:r>
        <w:t xml:space="preserve">Paper original filed or destroyed per UConn IRB retention policy</w:t>
      </w:r>
    </w:p>
    <w:p>
      <w:pPr>
        <w:pStyle w:val="Compact"/>
        <w:numPr>
          <w:ilvl w:val="0"/>
          <w:numId w:val="1014"/>
        </w:numPr>
      </w:pPr>
      <w:r>
        <w:t xml:space="preserve">Consent record verified present on participant Athena chart before baseline assessment proceeds (currently manual; PDF-landed verification gap)</w:t>
      </w:r>
    </w:p>
    <w:p>
      <w:pPr>
        <w:pStyle w:val="Heading2"/>
      </w:pPr>
      <w:r>
        <w:t xml:space="preserve">Terms used here</w:t>
      </w:r>
    </w:p>
    <w:p>
      <w:pPr>
        <w:pStyle w:val="glossary-term"/>
      </w:pPr>
      <w:r>
        <w:t xml:space="preserve">IRB</w:t>
      </w:r>
    </w:p>
    <w:p>
      <w:pPr>
        <w:pStyle w:val="glossary-def"/>
      </w:pPr>
      <w:r>
        <w:t xml:space="preserve">Institutional Review Board — the human-subjects research oversight body that approves study protocols (including consent forms) and audits study conduct. UConn IRB governs this study; consent form revisions must match the current IRB-approved version.</w:t>
      </w:r>
    </w:p>
    <w:p>
      <w:pPr>
        <w:pStyle w:val="glossary-term"/>
      </w:pPr>
      <w:r>
        <w:t xml:space="preserve">Attestation gate</w:t>
      </w:r>
    </w:p>
    <w:p>
      <w:pPr>
        <w:pStyle w:val="glossary-def"/>
      </w:pPr>
      <w:r>
        <w:t xml:space="preserve">A point in a procedure where a named human in a named role must record an explicit sign-off — with rationale and timestamp — before the case can proceed. Every sign-off generates an immutable audit-trail entry. In this procedure, the attestor is the participant; the attestation is the participant’s handwritten signature on the paper consent form.</w:t>
      </w:r>
    </w:p>
    <w:p>
      <w:pPr>
        <w:pStyle w:val="glossary-term"/>
      </w:pPr>
      <w:r>
        <w:t xml:space="preserve">Chain of custody</w:t>
      </w:r>
    </w:p>
    <w:p>
      <w:pPr>
        <w:pStyle w:val="glossary-def"/>
      </w:pPr>
      <w:r>
        <w:t xml:space="preserve">The sequenced, hashed record of every action taken on a case — from the trigger event through every attestation gate, hand-off, and acknowledgment. Allows the case history to be reconstructed deterministically for audit or regulatory review. In this procedure, chain of custody spans paper (signature) → administrator hand-off → digitized PDF → Athena record.</w:t>
      </w:r>
    </w:p>
    <w:p>
      <w:pPr>
        <w:pStyle w:val="glossary-term"/>
      </w:pPr>
      <w:r>
        <w:t xml:space="preserve">Athena</w:t>
      </w:r>
    </w:p>
    <w:p>
      <w:pPr>
        <w:pStyle w:val="glossary-def"/>
      </w:pPr>
      <w:r>
        <w:t xml:space="preserve">The electronic health record (EHR) system Cena uses to store participant records. PDFs uploaded to a participant’s Athena chart serve as the system-of-record for documents like signed IRB consent forms.</w:t>
      </w:r>
    </w:p>
    <w:p>
      <w:pPr>
        <w:pStyle w:val="glossary-term"/>
      </w:pPr>
      <w:r>
        <w:t xml:space="preserve">MRN</w:t>
      </w:r>
    </w:p>
    <w:p>
      <w:pPr>
        <w:pStyle w:val="glossary-def"/>
      </w:pPr>
      <w:r>
        <w:t xml:space="preserve">Medical Record Number — the unique identifier for a participant in the EHR (Athena). Used to route digitized documents to the correct participant record.</w:t>
      </w:r>
    </w:p>
    <w:p>
      <w:pPr>
        <w:pStyle w:val="Heading2"/>
      </w:pPr>
      <w:r>
        <w:t xml:space="preserve">Not yet approved — gates remaining</w:t>
      </w:r>
    </w:p>
    <w:p>
      <w:pPr>
        <w:pStyle w:val="attestation"/>
      </w:pPr>
      <w:r>
        <w:t xml:space="preserve">This procedure is a DRAFT. Three approval gates remain before operational use.</w:t>
      </w:r>
    </w:p>
    <w:p>
      <w:pPr>
        <w:pStyle w:val="attestation-gate"/>
      </w:pPr>
      <w:r>
        <w:rPr>
          <w:b/>
          <w:bCs/>
        </w:rPr>
        <w:t xml:space="preserve">Clinically accurate</w:t>
      </w:r>
      <w:r>
        <w:t xml:space="preserve"> </w:t>
      </w:r>
      <w:r>
        <w:t xml:space="preserve">— pending clinical lead (Cena hire TBD; coordinate with Vanessa)</w:t>
      </w:r>
    </w:p>
    <w:p>
      <w:pPr>
        <w:pStyle w:val="attestation-gate"/>
      </w:pPr>
      <w:r>
        <w:rPr>
          <w:b/>
          <w:bCs/>
        </w:rPr>
        <w:t xml:space="preserve">Operationally true</w:t>
      </w:r>
      <w:r>
        <w:t xml:space="preserve"> </w:t>
      </w:r>
      <w:r>
        <w:t xml:space="preserve">— pending Vanessa Sena</w:t>
      </w:r>
    </w:p>
    <w:p>
      <w:pPr>
        <w:pStyle w:val="attestation-gate"/>
      </w:pPr>
      <w:r>
        <w:rPr>
          <w:b/>
          <w:bCs/>
        </w:rPr>
        <w:t xml:space="preserve">Signed off</w:t>
      </w:r>
      <w:r>
        <w:t xml:space="preserve"> </w:t>
      </w:r>
      <w:r>
        <w:t xml:space="preserve">— pending Director of Clinical Operations</w:t>
      </w:r>
    </w:p>
    <w:p>
      <w:pPr>
        <w:pStyle w:val="attestation"/>
      </w:pPr>
      <w:r>
        <w:rPr>
          <w:i/>
          <w:iCs/>
        </w:rPr>
        <w:t xml:space="preserve">Awaiting all gates — draft, not yet approved for use • Version 0.1</w:t>
      </w:r>
    </w:p>
    <w:sectPr>
      <w:footnotePr>
        <w:numRestart w:val="eachSect"/>
      </w:footnotePr>
      <w:pgMar w:bottom="1080" w:left="1440" w:right="144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36" w:lineRule="auto"/>
    </w:pPr>
    <w:rPr>
      <w:rFonts w:ascii="Source Sans 3" w:hAnsi="Source Sans 3"/>
      <w:color w:val="0D322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</w:pPr>
    <w:rPr>
      <w:rFonts w:ascii="Source Sans 3" w:hAnsi="Source Sans 3"/>
      <w:color w:val="0D322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 w:line="276" w:lineRule="auto"/>
      <w:jc w:val="left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00" w:lineRule="auto"/>
      <w:jc w:val="left"/>
    </w:pPr>
    <w:rPr>
      <w:rFonts w:ascii="Lora" w:cstheme="majorBidi" w:eastAsiaTheme="majorEastAsia" w:hAnsi="Lora"/>
      <w:b w:val="0"/>
      <w:i w:val="0"/>
      <w:color w:val="5A544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0" w:line="276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40" w:line="288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25211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300" w:lineRule="auto"/>
      <w:outlineLvl w:val="2"/>
    </w:pPr>
    <w:rPr>
      <w:rFonts w:ascii="Source Sans 3" w:cstheme="majorBidi" w:eastAsiaTheme="majorEastAsia" w:hAnsi="Source Sans 3"/>
      <w:b/>
      <w:i w:val="0"/>
      <w:color w:val="777069"/>
      <w:sz w:val="20"/>
      <w:szCs w:val="28"/>
      <w:caps w:val="tru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0D322D"/>
      <w:sz w:val="18"/>
    </w:rPr>
    <w:tblPr>
      <w:tblInd w:type="dxa" w:w="0"/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-info" w:type="paragraph">
    <w:name w:val="callout-info"/>
    <w:basedOn w:val="Normal"/>
    <w:pPr>
      <w:spacing w:after="160" w:before="160"/>
      <w:pBdr>
        <w:top w:color="auto" w:space="6" w:sz="2" w:val="single"/>
        <w:left w:color="236b8f" w:space="8" w:sz="18" w:val="single"/>
        <w:bottom w:color="auto" w:space="6" w:sz="2" w:val="single"/>
      </w:pBdr>
      <w:ind w:left="240"/>
      <w:shd w:color="auto" w:fill="c8f4ff" w:val="clear"/>
    </w:pPr>
    <w:rPr>
      <w:rFonts w:ascii="Source Sans 3" w:hAnsi="Source Sans 3"/>
      <w:color w:val="25211D"/>
      <w:sz w:val="22"/>
    </w:rPr>
  </w:style>
  <w:style w:customStyle="1" w:styleId="callout-warning" w:type="paragraph">
    <w:name w:val="callout-warning"/>
    <w:basedOn w:val="Normal"/>
    <w:pPr>
      <w:spacing w:after="160" w:before="160"/>
      <w:pBdr>
        <w:top w:color="auto" w:space="6" w:sz="2" w:val="single"/>
        <w:left w:color="aa8232" w:space="8" w:sz="18" w:val="single"/>
        <w:bottom w:color="auto" w:space="6" w:sz="2" w:val="single"/>
      </w:pBdr>
      <w:ind w:left="240"/>
      <w:shd w:color="auto" w:fill="faefda" w:val="clear"/>
    </w:pPr>
    <w:rPr>
      <w:rFonts w:ascii="Source Sans 3" w:hAnsi="Source Sans 3"/>
      <w:color w:val="25211D"/>
      <w:sz w:val="22"/>
    </w:rPr>
  </w:style>
  <w:style w:customStyle="1" w:styleId="callout-success" w:type="paragraph">
    <w:name w:val="callout-success"/>
    <w:basedOn w:val="Normal"/>
    <w:pPr>
      <w:spacing w:after="160" w:before="160"/>
      <w:pBdr>
        <w:top w:color="auto" w:space="6" w:sz="2" w:val="single"/>
        <w:left w:color="2c845c" w:space="8" w:sz="18" w:val="single"/>
        <w:bottom w:color="auto" w:space="6" w:sz="2" w:val="single"/>
      </w:pBdr>
      <w:ind w:left="240"/>
      <w:shd w:color="auto" w:fill="def8e6" w:val="clear"/>
    </w:pPr>
    <w:rPr>
      <w:rFonts w:ascii="Source Sans 3" w:hAnsi="Source Sans 3"/>
      <w:color w:val="25211D"/>
      <w:sz w:val="22"/>
    </w:rPr>
  </w:style>
  <w:style w:customStyle="1" w:styleId="callout-error" w:type="paragraph">
    <w:name w:val="callout-error"/>
    <w:basedOn w:val="Normal"/>
    <w:pPr>
      <w:spacing w:after="160" w:before="160"/>
      <w:pBdr>
        <w:top w:color="auto" w:space="6" w:sz="2" w:val="single"/>
        <w:left w:color="c13c3b" w:space="8" w:sz="18" w:val="single"/>
        <w:bottom w:color="auto" w:space="6" w:sz="2" w:val="single"/>
      </w:pBdr>
      <w:ind w:left="240"/>
      <w:shd w:color="auto" w:fill="ffe9e5" w:val="clear"/>
    </w:pPr>
    <w:rPr>
      <w:rFonts w:ascii="Source Sans 3" w:hAnsi="Source Sans 3"/>
      <w:color w:val="25211D"/>
      <w:sz w:val="22"/>
    </w:rPr>
  </w:style>
  <w:style w:customStyle="1" w:styleId="card" w:type="paragraph">
    <w:name w:val="card"/>
    <w:basedOn w:val="Normal"/>
    <w:pPr>
      <w:spacing w:after="160" w:before="16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card-title" w:type="paragraph">
    <w:name w:val="card-title"/>
    <w:basedOn w:val="Normal"/>
    <w:pPr>
      <w:spacing w:after="4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Lora" w:hAnsi="Lora"/>
      <w:b/>
      <w:color w:val="1E5149"/>
      <w:sz w:val="24"/>
    </w:rPr>
  </w:style>
  <w:style w:customStyle="1" w:styleId="card-body" w:type="paragraph">
    <w:name w:val="card-body"/>
    <w:basedOn w:val="Normal"/>
    <w:pPr>
      <w:spacing w:after="16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attestation" w:type="paragraph">
    <w:name w:val="attestation"/>
    <w:basedOn w:val="Normal"/>
    <w:pPr>
      <w:spacing w:after="160" w:before="24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e4dfd7" w:val="clear"/>
    </w:pPr>
    <w:rPr>
      <w:rFonts w:ascii="Lora" w:hAnsi="Lora"/>
      <w:color w:val="25211D"/>
      <w:sz w:val="22"/>
    </w:rPr>
  </w:style>
  <w:style w:customStyle="1" w:styleId="attestation-gate" w:type="paragraph">
    <w:name w:val="attestation-gate"/>
    <w:basedOn w:val="Normal"/>
    <w:pPr>
      <w:spacing w:after="40" w:before="40"/>
      <w:pBdr>
        <w:top w:color="auto" w:space="6" w:sz="2" w:val="single"/>
        <w:bottom w:color="auto" w:space="6" w:sz="2" w:val="single"/>
      </w:pBdr>
      <w:shd w:color="auto" w:fill="e4dfd7" w:val="clear"/>
    </w:pPr>
    <w:rPr>
      <w:rFonts w:ascii="Source Sans 3" w:hAnsi="Source Sans 3"/>
      <w:color w:val="25211D"/>
      <w:sz w:val="22"/>
    </w:rPr>
  </w:style>
  <w:style w:customStyle="1" w:styleId="escalation" w:type="paragraph">
    <w:name w:val="escalation"/>
    <w:basedOn w:val="Normal"/>
    <w:pPr>
      <w:spacing w:after="160" w:before="160"/>
      <w:pBdr>
        <w:top w:color="auto" w:space="6" w:sz="2" w:val="single"/>
        <w:left w:color="735311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decision-branch" w:type="paragraph">
    <w:name w:val="decision-branch"/>
    <w:basedOn w:val="Normal"/>
    <w:pPr>
      <w:spacing w:after="160" w:before="16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glossary-term" w:type="paragraph">
    <w:name w:val="glossary-term"/>
    <w:basedOn w:val="Normal"/>
    <w:pPr>
      <w:spacing w:after="40" w:before="120"/>
    </w:pPr>
    <w:rPr>
      <w:rFonts w:ascii="Source Sans 3" w:hAnsi="Source Sans 3"/>
      <w:b/>
      <w:sz w:val="22"/>
    </w:rPr>
  </w:style>
  <w:style w:customStyle="1" w:styleId="glossary-def" w:type="paragraph">
    <w:name w:val="glossary-def"/>
    <w:basedOn w:val="Normal"/>
    <w:pPr>
      <w:spacing w:after="120" w:before="40"/>
      <w:ind w:left="240"/>
    </w:pPr>
    <w:rPr>
      <w:rFonts w:ascii="Source Sans 3" w:hAnsi="Source Sans 3"/>
      <w:sz w:val="22"/>
    </w:rPr>
  </w:style>
  <w:style w:customStyle="1" w:styleId="screen-ref" w:type="character">
    <w:name w:val="screen-ref"/>
    <w:rPr>
      <w:rFonts w:ascii="Source Code Pro" w:hAnsi="Source Code Pro"/>
      <w:color w:val="1E5149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In-person IRB written consent execution at the Month 0 visit</dc:title>
  <dc:creator/>
  <cp:keywords/>
  <dcterms:created xsi:type="dcterms:W3CDTF">2026-06-03T22:44:42Z</dcterms:created>
  <dcterms:modified xsi:type="dcterms:W3CDTF">2026-06-03T22:44:42Z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able">
    <vt:lpwstr>Director of Clinical Operations</vt:lpwstr>
  </property>
  <property fmtid="{D5CDD505-2E9C-101B-9397-08002B2CF9AE}" pid="3" name="reviewed">
    <vt:lpwstr>2026-06</vt:lpwstr>
  </property>
  <property fmtid="{D5CDD505-2E9C-101B-9397-08002B2CF9AE}" pid="4" name="role">
    <vt:lpwstr>Registered Dietitian</vt:lpwstr>
  </property>
  <property fmtid="{D5CDD505-2E9C-101B-9397-08002B2CF9AE}" pid="5" name="slug">
    <vt:lpwstr>written-consent-execution</vt:lpwstr>
  </property>
  <property fmtid="{D5CDD505-2E9C-101B-9397-08002B2CF9AE}" pid="6" name="status">
    <vt:lpwstr>draft</vt:lpwstr>
  </property>
  <property fmtid="{D5CDD505-2E9C-101B-9397-08002B2CF9AE}" pid="7" name="type">
    <vt:lpwstr>Standard Operating Procedure</vt:lpwstr>
  </property>
  <property fmtid="{D5CDD505-2E9C-101B-9397-08002B2CF9AE}" pid="8" name="version">
    <vt:lpwstr>0.1 (draft)</vt:lpwstr>
  </property>
</Properties>
</file>