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4"/>
          <w:szCs w:val="44"/>
        </w:rPr>
        <w:t xml:space="preserve">A Numerical Reliability Framework for Retrieval-Augmented Financial Question Answering</w:t>
      </w:r>
    </w:p>
    <w:p>
      <w:pPr>
        <w:spacing w:after="40"/>
        <w:jc w:val="center"/>
      </w:pPr>
      <w:r>
        <w:rPr>
          <w:rFonts w:ascii="Times New Roman" w:cs="Times New Roman" w:eastAsia="Times New Roman" w:hAnsi="Times New Roman"/>
          <w:sz w:val="22"/>
          <w:szCs w:val="22"/>
        </w:rPr>
        <w:t xml:space="preserve">Aaron Prakash Gandi</w:t>
      </w:r>
    </w:p>
    <w:p>
      <w:pPr>
        <w:spacing w:after="40"/>
        <w:jc w:val="center"/>
      </w:pPr>
      <w:r>
        <w:rPr>
          <w:rFonts w:ascii="Times New Roman" w:cs="Times New Roman" w:eastAsia="Times New Roman" w:hAnsi="Times New Roman"/>
          <w:i/>
          <w:iCs/>
          <w:sz w:val="20"/>
          <w:szCs w:val="20"/>
        </w:rPr>
        <w:t xml:space="preserve">School of Computing, Ulster University</w:t>
      </w:r>
    </w:p>
    <w:p>
      <w:pPr>
        <w:spacing w:after="240"/>
        <w:jc w:val="center"/>
      </w:pPr>
      <w:r>
        <w:rPr>
          <w:rFonts w:ascii="Times New Roman" w:cs="Times New Roman" w:eastAsia="Times New Roman" w:hAnsi="Times New Roman"/>
          <w:i/>
          <w:iCs/>
          <w:sz w:val="20"/>
          <w:szCs w:val="20"/>
        </w:rPr>
        <w:t xml:space="preserve">Supervisor: Dr. Tazar Hussain</w:t>
      </w:r>
    </w:p>
    <w:p>
      <w:pPr>
        <w:sectPr>
          <w:pgSz w:w="12240" w:h="15840" w:orient="portrait"/>
          <w:pgMar w:top="1080" w:right="900" w:bottom="1440" w:left="900" w:header="708" w:footer="708" w:gutter="0"/>
          <w:pgNumType/>
          <w:docGrid w:linePitch="360"/>
        </w:sectPr>
      </w:pPr>
    </w:p>
    <w:p>
      <w:pPr>
        <w:spacing w:after="120" w:line="24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Retrieval-augmented generation is increasingly proposed for financial decision support, yet standard evaluation reports only answer accuracy and cannot distinguish a system that is reliably wrong from one that is unreliably right. This paper presents a Numerical Reliability Framework decomposing reliability into execution accuracy, a Numerical Evidence Support Score, rule-based hallucination detection, and calibration of self-reported confidence, aggregated into a proposed Overall Numerical Reliability Score. The framework is evaluated on FinQA with a locally hosted 3B generator under 4-bit quantisation on consumer hardware. Five experiments profile the baseline, test detector sensitivity to adversarial numerical contamination, quantify overconfidence, assess composite response to graded context noise, and compare three evidence conditions under identical scoring. Baseline accuracy is 0.340. Confidence differs by only 0.024 between correct and incorrect answers while 64% of responses are confidently wrong. With no evidence the system scores 0.000 and the detector flags every response; with perfect gold evidence it reaches only 0.420, establishing that 12% of remaining error is retrieval-attributable and 88% is bounded by generator reasoning. The composite score fails twice: it does not track injected degradation, and it ranks a more accurate configuration lower than a less accurate one. The paper additionally documents an audit that identified defects invalidating earlier results, and argues that component-level reporting is necessary because the aggregate conceals signals its own components detect.</w:t>
      </w:r>
    </w:p>
    <w:p>
      <w:pPr>
        <w:spacing w:after="160" w:line="24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retrieval-augmented generation; numerical reasoning; hallucination detection; confidence calibration; financial NLP; FinQA; evaluation methodology</w:t>
      </w:r>
    </w:p>
    <w:p>
      <w:pPr>
        <w:spacing w:after="100" w:before="200"/>
        <w:jc w:val="center"/>
      </w:pPr>
      <w:r>
        <w:rPr>
          <w:rFonts w:ascii="Times New Roman" w:cs="Times New Roman" w:eastAsia="Times New Roman" w:hAnsi="Times New Roman"/>
          <w:sz w:val="20"/>
          <w:szCs w:val="20"/>
        </w:rPr>
        <w:t xml:space="preserve">I. INTRODUCTION</w:t>
      </w:r>
    </w:p>
    <w:p>
      <w:pPr>
        <w:spacing w:after="60" w:line="240"/>
        <w:ind w:firstLine="288"/>
        <w:jc w:val="both"/>
      </w:pPr>
      <w:r>
        <w:rPr>
          <w:rFonts w:ascii="Times New Roman" w:cs="Times New Roman" w:eastAsia="Times New Roman" w:hAnsi="Times New Roman"/>
          <w:sz w:val="20"/>
          <w:szCs w:val="20"/>
        </w:rPr>
        <w:t xml:space="preserve">Large language models are increasingly applied to financial analysis, where a small numerical error carries direct economic consequence. Retrieval-augmented generation (RAG) [1] conditions the generator on retrieved source material and has been shown to reduce unsupported assertions in dialogue [2]. It is therefore an attractive architecture for question answering over financial filings. Grounding, however, is not correctness, and correctness alone is not trustworthiness.</w:t>
      </w:r>
    </w:p>
    <w:p>
      <w:pPr>
        <w:spacing w:after="60" w:line="240"/>
        <w:ind w:firstLine="288"/>
        <w:jc w:val="both"/>
      </w:pPr>
      <w:r>
        <w:rPr>
          <w:rFonts w:ascii="Times New Roman" w:cs="Times New Roman" w:eastAsia="Times New Roman" w:hAnsi="Times New Roman"/>
          <w:sz w:val="20"/>
          <w:szCs w:val="20"/>
        </w:rPr>
        <w:t xml:space="preserve">Two systems answering 34% of questions correctly can present very different risk profiles. One that reports high confidence on correct and incorrect answers alike offers a user no basis for deciding when to verify its output; one whose confidence tracks its reliability does. A single accuracy figure collapses that distinction entirely. This is the gap the present work addresses.</w:t>
      </w:r>
    </w:p>
    <w:p>
      <w:pPr>
        <w:spacing w:after="60" w:line="240"/>
        <w:ind w:firstLine="288"/>
        <w:jc w:val="both"/>
      </w:pPr>
      <w:r>
        <w:rPr>
          <w:rFonts w:ascii="Times New Roman" w:cs="Times New Roman" w:eastAsia="Times New Roman" w:hAnsi="Times New Roman"/>
          <w:sz w:val="20"/>
          <w:szCs w:val="20"/>
        </w:rPr>
        <w:t xml:space="preserve">The work follows a research design in which a data-centric approach to numerical hallucination [3] was analysed and found to improve reasoning quality without providing any means of measuring how reliable that reasoning is. The identified gap comprised four missing mechanisms: quantifying the faithfulness of a reasoning chain to its evidence, calibrating confidence in numerical outputs, detecting hallucination independently of the generation process, and assessing consistency across expressions of the same numerical intent. The framework presented here implements the first three and reports the fourth as outstanding.</w:t>
      </w:r>
    </w:p>
    <w:p>
      <w:pPr>
        <w:spacing w:after="60" w:line="240"/>
        <w:ind w:firstLine="288"/>
        <w:jc w:val="both"/>
      </w:pPr>
      <w:r>
        <w:rPr>
          <w:rFonts w:ascii="Times New Roman" w:cs="Times New Roman" w:eastAsia="Times New Roman" w:hAnsi="Times New Roman"/>
          <w:sz w:val="20"/>
          <w:szCs w:val="20"/>
        </w:rPr>
        <w:t xml:space="preserve">The contributions are fourfold. A transparent reliability framework tailored to numerical financial question answering is specified. It is evaluated across five controlled experiments under a binding consumer-hardware constraint. A methodology audit is reported that identified defects capable of invalidating earlier measurements. Finally, the framework is turned on its own composite score, which is shown to fail in two distinct and independently diagnosable ways.</w:t>
      </w:r>
    </w:p>
    <w:p>
      <w:pPr>
        <w:spacing w:after="100" w:before="200"/>
        <w:jc w:val="center"/>
      </w:pPr>
      <w:r>
        <w:rPr>
          <w:rFonts w:ascii="Times New Roman" w:cs="Times New Roman" w:eastAsia="Times New Roman" w:hAnsi="Times New Roman"/>
          <w:sz w:val="20"/>
          <w:szCs w:val="20"/>
        </w:rPr>
        <w:t xml:space="preserve">II. RELATED WORK</w:t>
      </w:r>
    </w:p>
    <w:p>
      <w:pPr>
        <w:spacing w:after="60" w:before="120"/>
        <w:jc w:val="left"/>
      </w:pPr>
      <w:r>
        <w:rPr>
          <w:rFonts w:ascii="Times New Roman" w:cs="Times New Roman" w:eastAsia="Times New Roman" w:hAnsi="Times New Roman"/>
          <w:i/>
          <w:iCs/>
          <w:sz w:val="20"/>
          <w:szCs w:val="20"/>
        </w:rPr>
        <w:t xml:space="preserve">A. Numerical question answering over financial documents</w:t>
      </w:r>
    </w:p>
    <w:p>
      <w:pPr>
        <w:spacing w:after="60" w:line="240"/>
        <w:ind w:firstLine="288"/>
        <w:jc w:val="both"/>
      </w:pPr>
      <w:r>
        <w:rPr>
          <w:rFonts w:ascii="Times New Roman" w:cs="Times New Roman" w:eastAsia="Times New Roman" w:hAnsi="Times New Roman"/>
          <w:sz w:val="20"/>
          <w:szCs w:val="20"/>
        </w:rPr>
        <w:t xml:space="preserve">FinQA [4] provides numerical reasoning questions over earnings reports, annotated with executable programs so answers are scored by execution rather than string match. The authors report 91.16% execution accuracy for human experts against 50.68% for general crowd workers and 61.24% for their strongest neural model, rising to 70.0% when gold retrieval is supplied. The benchmark is unsaturated and the resulting gap motivates continued work. TAT-QA [5] extends the setting to hybrid tabular and textual evidence, and ConvFinQA [6] to conversational dependencies where intermediate results become later operands. All three confirm that the difficulty lies less in language understanding than in the chained arithmetic that follows it.</w:t>
      </w:r>
    </w:p>
    <w:p>
      <w:pPr>
        <w:spacing w:after="60" w:before="120"/>
        <w:jc w:val="left"/>
      </w:pPr>
      <w:r>
        <w:rPr>
          <w:rFonts w:ascii="Times New Roman" w:cs="Times New Roman" w:eastAsia="Times New Roman" w:hAnsi="Times New Roman"/>
          <w:i/>
          <w:iCs/>
          <w:sz w:val="20"/>
          <w:szCs w:val="20"/>
        </w:rPr>
        <w:t xml:space="preserve">B. Retrieval augmentation and grounding</w:t>
      </w:r>
    </w:p>
    <w:p>
      <w:pPr>
        <w:spacing w:after="60" w:line="240"/>
        <w:ind w:firstLine="288"/>
        <w:jc w:val="both"/>
      </w:pPr>
      <w:r>
        <w:rPr>
          <w:rFonts w:ascii="Times New Roman" w:cs="Times New Roman" w:eastAsia="Times New Roman" w:hAnsi="Times New Roman"/>
          <w:sz w:val="20"/>
          <w:szCs w:val="20"/>
        </w:rPr>
        <w:t xml:space="preserve">The RAG formulation [1] pairs a learned retriever with a generator, and dense passage retrieval [7] established that learned dense representations outperform sparse lexical matching for open-domain question answering. Retrieval augmentation measurably reduces hallucination in knowledge-grounded dialogue [2]. A recent survey [8] notes that evaluation of RAG systems remains underdeveloped relative to their architectural sophistication. RAGAS [9] proposes reference-free faithfulness and relevance metrics assessed by a judge model. The present work differs in computing its evidence-support measure arithmetically rather than by a judge, making it deterministic and inspectable, and in targeting numeric grounding specifically, on the view that in this domain a wrong number is the failure that matters.</w:t>
      </w:r>
    </w:p>
    <w:p>
      <w:pPr>
        <w:spacing w:after="60" w:before="120"/>
        <w:jc w:val="left"/>
      </w:pPr>
      <w:r>
        <w:rPr>
          <w:rFonts w:ascii="Times New Roman" w:cs="Times New Roman" w:eastAsia="Times New Roman" w:hAnsi="Times New Roman"/>
          <w:i/>
          <w:iCs/>
          <w:sz w:val="20"/>
          <w:szCs w:val="20"/>
        </w:rPr>
        <w:t xml:space="preserve">C. Hallucination detection and verification</w:t>
      </w:r>
    </w:p>
    <w:p>
      <w:pPr>
        <w:spacing w:after="60" w:line="240"/>
        <w:ind w:firstLine="288"/>
        <w:jc w:val="both"/>
      </w:pPr>
      <w:r>
        <w:rPr>
          <w:rFonts w:ascii="Times New Roman" w:cs="Times New Roman" w:eastAsia="Times New Roman" w:hAnsi="Times New Roman"/>
          <w:sz w:val="20"/>
          <w:szCs w:val="20"/>
        </w:rPr>
        <w:t xml:space="preserve">A survey of hallucination in natural language generation [10] distinguishes intrinsic hallucination, where output contradicts its source, from extrinsic hallucination, where output introduces unverifiable content. Numeric hallucination in financial question answering is predominantly extrinsic: a figure appears that is traceable to no line of the filing. SelfCheckGPT [11] detects hallucination without external resources by sampling multiple generations and measuring their consistency, which is effective but requires repeated inference. The detector used here is deliberately simpler and is characterised as a rule-based baseline, since the object of study is whether the framework surfaces unreliability at all rather than whether it does so optimally.</w:t>
      </w:r>
    </w:p>
    <w:p>
      <w:pPr>
        <w:spacing w:after="60" w:line="240"/>
        <w:ind w:firstLine="288"/>
        <w:jc w:val="both"/>
      </w:pPr>
      <w:r>
        <w:rPr>
          <w:rFonts w:ascii="Times New Roman" w:cs="Times New Roman" w:eastAsia="Times New Roman" w:hAnsi="Times New Roman"/>
          <w:sz w:val="20"/>
          <w:szCs w:val="20"/>
        </w:rPr>
        <w:t xml:space="preserve">A complementary tradition verifies reasoning by re-execution. Cobbe et al. [12] train verifiers to check solutions to mathematical word problems, and chain-of-thought prompting [13] makes intermediate reasoning explicit and therefore checkable. The gold-free verifier described in Section III-E follows this second tradition, re-executing the model’s own stated arithmetic in a restricted interpreter without reference to any gold label. The data-centric approach in [3] addresses the same underlying pathologies through adversarial data construction and reinforcement learning, improving the reasoning engine rather than measuring it.</w:t>
      </w:r>
    </w:p>
    <w:p>
      <w:pPr>
        <w:spacing w:after="60" w:before="120"/>
        <w:jc w:val="left"/>
      </w:pPr>
      <w:r>
        <w:rPr>
          <w:rFonts w:ascii="Times New Roman" w:cs="Times New Roman" w:eastAsia="Times New Roman" w:hAnsi="Times New Roman"/>
          <w:i/>
          <w:iCs/>
          <w:sz w:val="20"/>
          <w:szCs w:val="20"/>
        </w:rPr>
        <w:t xml:space="preserve">D. Confidence calibration</w:t>
      </w:r>
    </w:p>
    <w:p>
      <w:pPr>
        <w:spacing w:after="60" w:line="240"/>
        <w:ind w:firstLine="288"/>
        <w:jc w:val="both"/>
      </w:pPr>
      <w:r>
        <w:rPr>
          <w:rFonts w:ascii="Times New Roman" w:cs="Times New Roman" w:eastAsia="Times New Roman" w:hAnsi="Times New Roman"/>
          <w:sz w:val="20"/>
          <w:szCs w:val="20"/>
        </w:rPr>
        <w:t xml:space="preserve">Expected calibration error, formalised through binned reliability estimation [14], became the standard summary measure after Guo et al. [15] demonstrated that modern networks are systematically overconfident relative to their accuracy. That literature concerns probabilities derived from logits. Kadavath et al. [16] investigate the distinct question of whether models can be prompted to express calibrated self-assessments in natural language, with mixed results. This work measures that second quantity and reports it throughout as self-reported confidence. Section VI-B shows the distinction is not merely terminological: the near-constancy of the observed signal induces a degeneracy that logit-derived confidence would not.</w:t>
      </w:r>
    </w:p>
    <w:p>
      <w:pPr>
        <w:spacing w:after="100" w:before="200"/>
        <w:jc w:val="center"/>
      </w:pPr>
      <w:r>
        <w:rPr>
          <w:rFonts w:ascii="Times New Roman" w:cs="Times New Roman" w:eastAsia="Times New Roman" w:hAnsi="Times New Roman"/>
          <w:sz w:val="20"/>
          <w:szCs w:val="20"/>
        </w:rPr>
        <w:t xml:space="preserve">III. SYSTEM AND EXPERIMENTAL SETUP</w:t>
      </w:r>
    </w:p>
    <w:p>
      <w:pPr>
        <w:spacing w:after="60" w:before="120"/>
        <w:jc w:val="left"/>
      </w:pPr>
      <w:r>
        <w:rPr>
          <w:rFonts w:ascii="Times New Roman" w:cs="Times New Roman" w:eastAsia="Times New Roman" w:hAnsi="Times New Roman"/>
          <w:i/>
          <w:iCs/>
          <w:sz w:val="20"/>
          <w:szCs w:val="20"/>
        </w:rPr>
        <w:t xml:space="preserve">A. Pipeline architecture</w:t>
      </w:r>
    </w:p>
    <w:p>
      <w:pPr>
        <w:spacing w:after="60" w:line="240"/>
        <w:ind w:firstLine="288"/>
        <w:jc w:val="both"/>
      </w:pPr>
      <w:r>
        <w:rPr>
          <w:rFonts w:ascii="Times New Roman" w:cs="Times New Roman" w:eastAsia="Times New Roman" w:hAnsi="Times New Roman"/>
          <w:sz w:val="20"/>
          <w:szCs w:val="20"/>
        </w:rPr>
        <w:t xml:space="preserve">Each FinQA item is chunked, indexed, retrieved against and answered independently. Pre-text and post-text are supplied by the dataset as lists of sentences already segmented by its authors; each element becomes one chunk rather than being re-split heuristically, which would risk fragmenting expressions such as "$5,829 million" across boundaries. Each table row becomes one chunk rendered as a labelled key-value string so a retrieved row remains interpretable in isolation. Embeddings use a Sentence-BERT bi-encoder [17]; retrieval is exact cosine similarity via inner-product search over normalised vectors [18]. Because the corpus for any question is a single document of tens of chunks, exact search is inexpensive and reproducible, and approximate indexes would add non-determinism for no benefit. The top eight chunks form the evidence block.</w:t>
      </w:r>
    </w:p>
    <w:p>
      <w:pPr>
        <w:spacing w:after="60" w:before="120"/>
        <w:jc w:val="left"/>
      </w:pPr>
      <w:r>
        <w:rPr>
          <w:rFonts w:ascii="Times New Roman" w:cs="Times New Roman" w:eastAsia="Times New Roman" w:hAnsi="Times New Roman"/>
          <w:i/>
          <w:iCs/>
          <w:sz w:val="20"/>
          <w:szCs w:val="20"/>
        </w:rPr>
        <w:t xml:space="preserve">B. Generation and hardware constraint</w:t>
      </w:r>
    </w:p>
    <w:p>
      <w:pPr>
        <w:spacing w:after="60" w:line="240"/>
        <w:ind w:firstLine="288"/>
        <w:jc w:val="both"/>
      </w:pPr>
      <w:r>
        <w:rPr>
          <w:rFonts w:ascii="Times New Roman" w:cs="Times New Roman" w:eastAsia="Times New Roman" w:hAnsi="Times New Roman"/>
          <w:sz w:val="20"/>
          <w:szCs w:val="20"/>
        </w:rPr>
        <w:t xml:space="preserve">Generation uses greedy decoding with a fixed seed, a system prompt, and two few-shot examples supplied as prior turns, each targeting a specific observed error class rather than offering generic guidance. Responses are constrained to a Reasoning, Final Answer and Confidence structure, following the convention that intermediate reasoning be made explicit [13].</w:t>
      </w:r>
    </w:p>
    <w:p>
      <w:pPr>
        <w:spacing w:after="60" w:line="240"/>
        <w:ind w:firstLine="288"/>
        <w:jc w:val="both"/>
      </w:pPr>
      <w:r>
        <w:rPr>
          <w:rFonts w:ascii="Times New Roman" w:cs="Times New Roman" w:eastAsia="Times New Roman" w:hAnsi="Times New Roman"/>
          <w:sz w:val="20"/>
          <w:szCs w:val="20"/>
        </w:rPr>
        <w:t xml:space="preserve">All experiments ran on a consumer laptop with an NVIDIA RTX 3050 providing 4 GB of video memory, with no API budget. This binds model selection materially. A 3.8B model in half precision was evaluated first and proved impractically slow, consistent with memory exhaustion and paging to host RAM. A 3B instruction-tuned model [19] under 4-bit NF4 quantisation [20] occupies approximately 2 GB and fits alongside the embedding model and key-value cache. Models of 7B parameters require roughly 4.3 to 4.7 GB even at 4-bit and do not fit. Frontier models are available only through paid interfaces. The results therefore characterise this configuration specifically.</w:t>
      </w:r>
    </w:p>
    <w:p>
      <w:pPr>
        <w:spacing w:after="60" w:before="120"/>
        <w:jc w:val="left"/>
      </w:pPr>
      <w:r>
        <w:rPr>
          <w:rFonts w:ascii="Times New Roman" w:cs="Times New Roman" w:eastAsia="Times New Roman" w:hAnsi="Times New Roman"/>
          <w:i/>
          <w:iCs/>
          <w:sz w:val="20"/>
          <w:szCs w:val="20"/>
        </w:rPr>
        <w:t xml:space="preserve">C. Dataset, splits and answer handling</w:t>
      </w:r>
    </w:p>
    <w:p>
      <w:pPr>
        <w:spacing w:after="60" w:line="240"/>
        <w:ind w:firstLine="288"/>
        <w:jc w:val="both"/>
      </w:pPr>
      <w:r>
        <w:rPr>
          <w:rFonts w:ascii="Times New Roman" w:cs="Times New Roman" w:eastAsia="Times New Roman" w:hAnsi="Times New Roman"/>
          <w:sz w:val="20"/>
          <w:szCs w:val="20"/>
        </w:rPr>
        <w:t xml:space="preserve">All reported experiments use the FinQA development split; the test split was reserved and never used during development, so that a final evaluation can be produced on data never tuned against. Sample selection is deterministic. Scoring uses the dataset’s precise executed answer rather than its rounded display string, following the execution-accuracy methodology of the benchmark itself [4]. Items whose gold answer is non-numeric are excluded from accuracy and reported separately rather than silently scored. A prediction is correct within the greater of 0.01 and two per cent of the gold magnitude. Where exactly one of prediction and gold carries a percentage unit the pair is a mismatch even when magnitudes agree, a deliberately conservative policy reported as such.</w:t>
      </w:r>
    </w:p>
    <w:p>
      <w:pPr>
        <w:spacing w:after="60" w:before="120"/>
        <w:jc w:val="left"/>
      </w:pPr>
      <w:r>
        <w:rPr>
          <w:rFonts w:ascii="Times New Roman" w:cs="Times New Roman" w:eastAsia="Times New Roman" w:hAnsi="Times New Roman"/>
          <w:i/>
          <w:iCs/>
          <w:sz w:val="20"/>
          <w:szCs w:val="20"/>
        </w:rPr>
        <w:t xml:space="preserve">D. Reliability measures</w:t>
      </w:r>
    </w:p>
    <w:p>
      <w:pPr>
        <w:spacing w:after="60" w:line="240"/>
        <w:ind w:firstLine="288"/>
        <w:jc w:val="both"/>
      </w:pPr>
      <w:r>
        <w:rPr>
          <w:rFonts w:ascii="Times New Roman" w:cs="Times New Roman" w:eastAsia="Times New Roman" w:hAnsi="Times New Roman"/>
          <w:sz w:val="20"/>
          <w:szCs w:val="20"/>
        </w:rPr>
        <w:t xml:space="preserve">Let R denote the multiset of numeric tokens in a response and E that in the retrieved evidence. NESS is the proportion of R supported by E under a tolerance-aware match. It is numeric overlap, not entailment, a limitation revisited in Section VI-C. Hallucination is flagged when NESS falls below 0.5, a rule-based baseline rather than a trained classifier [10], [11]. Calibration is binned expected calibration error over ten bins [14], [15] computed on self-reported confidence, with missing values excluded and counted rather than imputed, since imputing a neutral value biases the estimate toward apparent good calibration. The composite weights accuracy at 0.30, evidence support at 0.30, one minus hallucination rate at 0.20, and one minus calibration error at 0.20. All inputs are validated to lie in the unit interval rather than silently clamped.</w:t>
      </w:r>
    </w:p>
    <w:p>
      <w:pPr>
        <w:spacing w:after="60" w:before="120"/>
        <w:jc w:val="left"/>
      </w:pPr>
      <w:r>
        <w:rPr>
          <w:rFonts w:ascii="Times New Roman" w:cs="Times New Roman" w:eastAsia="Times New Roman" w:hAnsi="Times New Roman"/>
          <w:i/>
          <w:iCs/>
          <w:sz w:val="20"/>
          <w:szCs w:val="20"/>
        </w:rPr>
        <w:t xml:space="preserve">E. Gold-free post-hoc verifier</w:t>
      </w:r>
    </w:p>
    <w:p>
      <w:pPr>
        <w:spacing w:after="60" w:line="240"/>
        <w:ind w:firstLine="288"/>
        <w:jc w:val="both"/>
      </w:pPr>
      <w:r>
        <w:rPr>
          <w:rFonts w:ascii="Times New Roman" w:cs="Times New Roman" w:eastAsia="Times New Roman" w:hAnsi="Times New Roman"/>
          <w:sz w:val="20"/>
          <w:szCs w:val="20"/>
        </w:rPr>
        <w:t xml:space="preserve">A verifier operates on each response without access to the gold answer or program. It extracts the final arithmetic expression, re-executes it using a restricted abstract-syntax-tree evaluator admitting only constants and binary and unary operations, checks that each stated operand is grounded in the retrieved evidence while exempting a closed set of unit-conversion constants, and compares the recomputation against the stated answer. On failure one corrective regeneration is attempted with the reason returned to the model. Because verification never consults a reference, this is a self-consistency step in the sense of [12] rather than a mechanism for steering the model toward a known target. This component implements the cross-verification stage of the original research design.</w:t>
      </w:r>
    </w:p>
    <w:p>
      <w:pPr>
        <w:spacing w:after="100" w:before="200"/>
        <w:jc w:val="center"/>
      </w:pPr>
      <w:r>
        <w:rPr>
          <w:rFonts w:ascii="Times New Roman" w:cs="Times New Roman" w:eastAsia="Times New Roman" w:hAnsi="Times New Roman"/>
          <w:sz w:val="20"/>
          <w:szCs w:val="20"/>
        </w:rPr>
        <w:t xml:space="preserve">IV. METHODOLOGY AUDIT</w:t>
      </w:r>
    </w:p>
    <w:p>
      <w:pPr>
        <w:spacing w:after="60" w:line="240"/>
        <w:ind w:firstLine="288"/>
        <w:jc w:val="both"/>
      </w:pPr>
      <w:r>
        <w:rPr>
          <w:rFonts w:ascii="Times New Roman" w:cs="Times New Roman" w:eastAsia="Times New Roman" w:hAnsi="Times New Roman"/>
          <w:sz w:val="20"/>
          <w:szCs w:val="20"/>
        </w:rPr>
        <w:t xml:space="preserve">Several defects were identified that had produced invalid results. They are reported because the trustworthiness of the final figures depends on the audit that produced them.</w:t>
      </w:r>
    </w:p>
    <w:p>
      <w:pPr>
        <w:spacing w:after="60" w:before="120"/>
        <w:jc w:val="left"/>
      </w:pPr>
      <w:r>
        <w:rPr>
          <w:rFonts w:ascii="Times New Roman" w:cs="Times New Roman" w:eastAsia="Times New Roman" w:hAnsi="Times New Roman"/>
          <w:i/>
          <w:iCs/>
          <w:sz w:val="20"/>
          <w:szCs w:val="20"/>
        </w:rPr>
        <w:t xml:space="preserve">A. Fabricated evidence-support constant</w:t>
      </w:r>
    </w:p>
    <w:p>
      <w:pPr>
        <w:spacing w:after="60" w:line="240"/>
        <w:ind w:firstLine="288"/>
        <w:jc w:val="both"/>
      </w:pPr>
      <w:r>
        <w:rPr>
          <w:rFonts w:ascii="Times New Roman" w:cs="Times New Roman" w:eastAsia="Times New Roman" w:hAnsi="Times New Roman"/>
          <w:sz w:val="20"/>
          <w:szCs w:val="20"/>
        </w:rPr>
        <w:t xml:space="preserve">Two experiment scripts computed evidence support by reading a dictionary key the pipeline never populated, falling back to a hardcoded default. The metric therefore returned exactly 0.8 for every example in every condition regardless of model behaviour, pinning thirty per cent of the composite weight to a constant and alone preventing the composite from responding to any manipulation.</w:t>
      </w:r>
    </w:p>
    <w:p>
      <w:pPr>
        <w:spacing w:after="60" w:before="120"/>
        <w:jc w:val="left"/>
      </w:pPr>
      <w:r>
        <w:rPr>
          <w:rFonts w:ascii="Times New Roman" w:cs="Times New Roman" w:eastAsia="Times New Roman" w:hAnsi="Times New Roman"/>
          <w:i/>
          <w:iCs/>
          <w:sz w:val="20"/>
          <w:szCs w:val="20"/>
        </w:rPr>
        <w:t xml:space="preserve">B. Gold-answer scaling defects</w:t>
      </w:r>
    </w:p>
    <w:p>
      <w:pPr>
        <w:spacing w:after="60" w:line="240"/>
        <w:ind w:firstLine="288"/>
        <w:jc w:val="both"/>
      </w:pPr>
      <w:r>
        <w:rPr>
          <w:rFonts w:ascii="Times New Roman" w:cs="Times New Roman" w:eastAsia="Times New Roman" w:hAnsi="Times New Roman"/>
          <w:sz w:val="20"/>
          <w:szCs w:val="20"/>
        </w:rPr>
        <w:t xml:space="preserve">The benchmark is inconsistent about whether its executed answer is a raw ratio or already percentage-scaled. In one case the annotated program itself contained an explicit multiplication by one hundred, so additional scaling produced a gold value two orders of magnitude too large and marked a correct answer wrong. In a second case both operands of a subtraction were already percentages, so no multiplication appeared in the program and a remedy based on pattern-matching program syntax still mis-scaled it. The resolution compares the executed answer against the numeric magnitude of the dataset’s own human-written display string and selects whichever of the raw or scaled value lies closer, on the reasoning that a human annotation is more reliable than program syntax.</w:t>
      </w:r>
    </w:p>
    <w:p>
      <w:pPr>
        <w:spacing w:after="60" w:before="120"/>
        <w:jc w:val="left"/>
      </w:pPr>
      <w:r>
        <w:rPr>
          <w:rFonts w:ascii="Times New Roman" w:cs="Times New Roman" w:eastAsia="Times New Roman" w:hAnsi="Times New Roman"/>
          <w:i/>
          <w:iCs/>
          <w:sz w:val="20"/>
          <w:szCs w:val="20"/>
        </w:rPr>
        <w:t xml:space="preserve">C. Chunking defect invalidating two experiments</w:t>
      </w:r>
    </w:p>
    <w:p>
      <w:pPr>
        <w:spacing w:after="60" w:line="240"/>
        <w:ind w:firstLine="288"/>
        <w:jc w:val="both"/>
      </w:pPr>
      <w:r>
        <w:rPr>
          <w:rFonts w:ascii="Times New Roman" w:cs="Times New Roman" w:eastAsia="Times New Roman" w:hAnsi="Times New Roman"/>
          <w:sz w:val="20"/>
          <w:szCs w:val="20"/>
        </w:rPr>
        <w:t xml:space="preserve">The adversarial and noise experiments assigned a string to a field the chunker iterates expecting a list of sentences. Iterating a string yields individual characters, so every document was fragmented into single-character chunks; a 57-character string was confirmed to produce 57 such chunks. Because the noise function returned a string even at zero noise, the baseline condition was corrupted as well, explaining an anomalous 6% accuracy at zero noise against 34% from the identical pipeline elsewhere. All prior results from these experiments were discarded rather than reported.</w:t>
      </w:r>
    </w:p>
    <w:p>
      <w:pPr>
        <w:spacing w:after="60" w:before="120"/>
        <w:jc w:val="left"/>
      </w:pPr>
      <w:r>
        <w:rPr>
          <w:rFonts w:ascii="Times New Roman" w:cs="Times New Roman" w:eastAsia="Times New Roman" w:hAnsi="Times New Roman"/>
          <w:i/>
          <w:iCs/>
          <w:sz w:val="20"/>
          <w:szCs w:val="20"/>
        </w:rPr>
        <w:t xml:space="preserve">D. Revision of the evidence-support measure</w:t>
      </w:r>
    </w:p>
    <w:p>
      <w:pPr>
        <w:spacing w:after="60" w:line="240"/>
        <w:ind w:firstLine="288"/>
        <w:jc w:val="both"/>
      </w:pPr>
      <w:r>
        <w:rPr>
          <w:rFonts w:ascii="Times New Roman" w:cs="Times New Roman" w:eastAsia="Times New Roman" w:hAnsi="Times New Roman"/>
          <w:sz w:val="20"/>
          <w:szCs w:val="20"/>
        </w:rPr>
        <w:t xml:space="preserve">NESS as originally defined credits a response number only if it appears literally in the evidence. The answer to an arithmetic question is a computed value that by construction does not appear in the source text. Zero of the fifteen fully correct answers in the baseline achieved a strict score of unity, with a mean of 0.686. The metric therefore penalised the system for performing the arithmetic the task requires and bounded the composite below unity by construction. A revised definition additionally credits values reachable from the cited evidence by one elementary arithmetic step. Validation against gaming is essential and is reported: an implementation seeding the search with all evidence numbers exhibited an 86.5% false-positive rate on invented values and was rejected; restricting the seed set to cited numbers plus unit constants reduced this to 0.2% over 400 adversarial trials. Both definitions are computed on every run and the revised score is described as a defined revision, never as a correction.</w:t>
      </w:r>
    </w:p>
    <w:p>
      <w:pPr>
        <w:spacing w:after="60" w:before="120"/>
        <w:jc w:val="left"/>
      </w:pPr>
      <w:r>
        <w:rPr>
          <w:rFonts w:ascii="Times New Roman" w:cs="Times New Roman" w:eastAsia="Times New Roman" w:hAnsi="Times New Roman"/>
          <w:i/>
          <w:iCs/>
          <w:sz w:val="20"/>
          <w:szCs w:val="20"/>
        </w:rPr>
        <w:t xml:space="preserve">E. Retrieval modifications tested and reverted</w:t>
      </w:r>
    </w:p>
    <w:p>
      <w:pPr>
        <w:spacing w:after="60" w:line="240"/>
        <w:ind w:firstLine="288"/>
        <w:jc w:val="both"/>
      </w:pPr>
      <w:r>
        <w:rPr>
          <w:rFonts w:ascii="Times New Roman" w:cs="Times New Roman" w:eastAsia="Times New Roman" w:hAnsi="Times New Roman"/>
          <w:sz w:val="20"/>
          <w:szCs w:val="20"/>
        </w:rPr>
        <w:t xml:space="preserve">Two modifications intended to improve recall were implemented, measured and withdrawn when verification showed they did not achieve their aim. The first raised retrieval depth from eight to twelve chunks to reach an item whose required table row was never retrieved; direct measurement of embedding ranks showed the row still fell outside the top twelve of twenty-five, out-ranked by eighteen near-duplicate prose sentences. It did not fix its target case, and altered the evidence for every question, with eight answers changing to correct and six in the opposite direction. The second guaranteed inclusion of a complete table below a row-count threshold on the assumption this affected only small-table documents; the assumption was unverified and false, and accuracy fell from 0.340 to 0.300. Section V-E later established that neither could have succeeded, because the total headroom available to retrieval in this configuration is eight accuracy points.</w:t>
      </w:r>
    </w:p>
    <w:p>
      <w:pPr>
        <w:spacing w:after="100" w:before="200"/>
        <w:jc w:val="center"/>
      </w:pPr>
      <w:r>
        <w:rPr>
          <w:rFonts w:ascii="Times New Roman" w:cs="Times New Roman" w:eastAsia="Times New Roman" w:hAnsi="Times New Roman"/>
          <w:sz w:val="20"/>
          <w:szCs w:val="20"/>
        </w:rPr>
        <w:t xml:space="preserve">V. RESULTS</w:t>
      </w:r>
    </w:p>
    <w:p>
      <w:pPr>
        <w:spacing w:after="60" w:before="120"/>
        <w:jc w:val="left"/>
      </w:pPr>
      <w:r>
        <w:rPr>
          <w:rFonts w:ascii="Times New Roman" w:cs="Times New Roman" w:eastAsia="Times New Roman" w:hAnsi="Times New Roman"/>
          <w:i/>
          <w:iCs/>
          <w:sz w:val="20"/>
          <w:szCs w:val="20"/>
        </w:rPr>
        <w:t xml:space="preserve">A. Baseline reliability profile</w:t>
      </w:r>
    </w:p>
    <w:p>
      <w:pPr>
        <w:spacing w:after="60" w:line="240"/>
        <w:ind w:firstLine="288"/>
        <w:jc w:val="both"/>
      </w:pPr>
      <w:r>
        <w:rPr>
          <w:rFonts w:ascii="Times New Roman" w:cs="Times New Roman" w:eastAsia="Times New Roman" w:hAnsi="Times New Roman"/>
          <w:sz w:val="20"/>
          <w:szCs w:val="20"/>
        </w:rPr>
        <w:t xml:space="preserve">Table I reports the baseline over fifty development items. Accuracy is 0.340 with a Wilson interval of [0.224, 0.478].</w:t>
      </w:r>
    </w:p>
    <w:p>
      <w:pPr>
        <w:spacing w:after="60" w:before="140"/>
        <w:jc w:val="center"/>
      </w:pPr>
      <w:r>
        <w:rPr>
          <w:rFonts w:ascii="Times New Roman" w:cs="Times New Roman" w:eastAsia="Times New Roman" w:hAnsi="Times New Roman"/>
          <w:sz w:val="16"/>
          <w:szCs w:val="16"/>
        </w:rPr>
        <w:t xml:space="preserve">TABLE I</w:t>
        <w:br/>
        <w:t xml:space="preserve">BASELINE RELIABILITY PROFILE (N = 50)</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400"/>
        <w:gridCol w:w="1640"/>
      </w:tblGrid>
      <w:tr>
        <w:trPr>
          <w:tblHeader/>
        </w:trPr>
        <w:tc>
          <w:tcPr>
            <w:tcW w:type="dxa" w:w="3400"/>
            <w:shd w:fill="E8E8E8" w:val="clear"/>
            <w:tcMar>
              <w:top w:type="dxa" w:w="30"/>
              <w:left w:type="dxa" w:w="60"/>
              <w:bottom w:type="dxa" w:w="30"/>
              <w:right w:type="dxa" w:w="60"/>
            </w:tcMar>
          </w:tcPr>
          <w:p>
            <w:pPr>
              <w:spacing w:after="0" w:line="220"/>
              <w:jc w:val="left"/>
            </w:pPr>
            <w:r>
              <w:rPr>
                <w:rFonts w:ascii="Times New Roman" w:cs="Times New Roman" w:eastAsia="Times New Roman" w:hAnsi="Times New Roman"/>
                <w:b/>
                <w:bCs/>
                <w:sz w:val="16"/>
                <w:szCs w:val="16"/>
              </w:rPr>
              <w:t xml:space="preserve">Metric</w:t>
            </w:r>
          </w:p>
        </w:tc>
        <w:tc>
          <w:tcPr>
            <w:tcW w:type="dxa" w:w="164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Value</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Execution accuracy</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0.3400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NESS (strict / revised)</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0.7145 / 0.9085</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Hallucination rate</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0.0800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Invalid-format rate</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0.0000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Verifier pass rate (gold-free)</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0.5600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Mean self-reported confidence</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0.8960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ECE of self-reported confidence</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0.5560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ONRS (strict / revised NESS)</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0.5891 / 0.6634</w:t>
            </w:r>
          </w:p>
        </w:tc>
      </w:tr>
    </w:tbl>
    <w:p>
      <w:pPr>
        <w:spacing w:after="60" w:line="240"/>
        <w:ind w:firstLine="288"/>
        <w:jc w:val="both"/>
      </w:pPr>
      <w:r>
        <w:rPr>
          <w:rFonts w:ascii="Times New Roman" w:cs="Times New Roman" w:eastAsia="Times New Roman" w:hAnsi="Times New Roman"/>
          <w:sz w:val="20"/>
          <w:szCs w:val="20"/>
        </w:rPr>
        <w:t xml:space="preserve">The verifier outcome merits decomposition rather than a single pass rate, since three distinct conditions produce a failure. Of fifty responses, 56% verified; 20% used an operand not grounded in the retrieved evidence; 12% stated no checkable expression; and 12% exhibited a genuine arithmetic inconsistency, where the model’s own stated calculation did not recompute to its own stated answer. Only the last category constitutes an arithmetic error in the strict sense, and reporting the aggregate alone would overstate it fourfold.</w:t>
      </w:r>
    </w:p>
    <w:p>
      <w:pPr>
        <w:spacing w:after="60" w:line="240"/>
        <w:ind w:firstLine="288"/>
        <w:jc w:val="both"/>
      </w:pPr>
      <w:r>
        <w:rPr>
          <w:rFonts w:ascii="Times New Roman" w:cs="Times New Roman" w:eastAsia="Times New Roman" w:hAnsi="Times New Roman"/>
          <w:sz w:val="20"/>
          <w:szCs w:val="20"/>
        </w:rPr>
        <w:t xml:space="preserve">The thirty-three incorrect answers were inspected individually and decompose into the categories in Table II, each confirmed against a specific item by reading the retrieved evidence and generated reasoning rather than inferred from the score.</w:t>
      </w:r>
    </w:p>
    <w:p>
      <w:pPr>
        <w:spacing w:after="60" w:before="140"/>
        <w:jc w:val="center"/>
      </w:pPr>
      <w:r>
        <w:rPr>
          <w:rFonts w:ascii="Times New Roman" w:cs="Times New Roman" w:eastAsia="Times New Roman" w:hAnsi="Times New Roman"/>
          <w:sz w:val="16"/>
          <w:szCs w:val="16"/>
        </w:rPr>
        <w:t xml:space="preserve">TABLE II</w:t>
        <w:br/>
        <w:t xml:space="preserve">ERROR CATEGORIES WITH CONFIRMED INSTANCES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tblGrid>
      <w:tr>
        <w:trPr>
          <w:tblHeader/>
        </w:trPr>
        <w:tc>
          <w:tcPr>
            <w:tcW w:type="dxa" w:w="1440"/>
            <w:shd w:fill="E8E8E8" w:val="clear"/>
            <w:tcMar>
              <w:top w:type="dxa" w:w="30"/>
              <w:left w:type="dxa" w:w="60"/>
              <w:bottom w:type="dxa" w:w="30"/>
              <w:right w:type="dxa" w:w="60"/>
            </w:tcMar>
          </w:tcPr>
          <w:p>
            <w:pPr>
              <w:spacing w:after="0" w:line="220"/>
              <w:jc w:val="left"/>
            </w:pPr>
            <w:r>
              <w:rPr>
                <w:rFonts w:ascii="Times New Roman" w:cs="Times New Roman" w:eastAsia="Times New Roman" w:hAnsi="Times New Roman"/>
                <w:b/>
                <w:bCs/>
                <w:sz w:val="16"/>
                <w:szCs w:val="16"/>
              </w:rPr>
              <w:t xml:space="preserve">Category</w:t>
            </w:r>
          </w:p>
        </w:tc>
        <w:tc>
          <w:tcPr>
            <w:tcW w:type="dxa" w:w="360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Confirmed behaviour</w:t>
            </w:r>
          </w:p>
        </w:tc>
      </w:tr>
      <w:tr>
        <w:tc>
          <w:tcPr>
            <w:tcW w:type="dxa" w:w="14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Arithmetic slip</w:t>
            </w:r>
          </w:p>
        </w:tc>
        <w:tc>
          <w:tcPr>
            <w:tcW w:type="dxa" w:w="36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Retrieved values correct but subtraction miscomputed by an order of magnitude</w:t>
            </w:r>
          </w:p>
        </w:tc>
      </w:tr>
      <w:tr>
        <w:tc>
          <w:tcPr>
            <w:tcW w:type="dxa" w:w="14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Omitted unit</w:t>
            </w:r>
          </w:p>
        </w:tc>
        <w:tc>
          <w:tcPr>
            <w:tcW w:type="dxa" w:w="36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Percentage magnitude correct, unit absent, scored as mismatch under stated policy</w:t>
            </w:r>
          </w:p>
        </w:tc>
      </w:tr>
      <w:tr>
        <w:tc>
          <w:tcPr>
            <w:tcW w:type="dxa" w:w="14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Wrong column</w:t>
            </w:r>
          </w:p>
        </w:tc>
        <w:tc>
          <w:tcPr>
            <w:tcW w:type="dxa" w:w="36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Value taken from an adjacent year in a multi-year table</w:t>
            </w:r>
          </w:p>
        </w:tc>
      </w:tr>
      <w:tr>
        <w:tc>
          <w:tcPr>
            <w:tcW w:type="dxa" w:w="14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Wrong formula</w:t>
            </w:r>
          </w:p>
        </w:tc>
        <w:tc>
          <w:tcPr>
            <w:tcW w:type="dxa" w:w="36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Incorrect denominator selected for a financial ratio</w:t>
            </w:r>
          </w:p>
        </w:tc>
      </w:tr>
      <w:tr>
        <w:tc>
          <w:tcPr>
            <w:tcW w:type="dxa" w:w="14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Retrieval miss</w:t>
            </w:r>
          </w:p>
        </w:tc>
        <w:tc>
          <w:tcPr>
            <w:tcW w:type="dxa" w:w="36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Required row never entered top-k; rounded prose restatement used instead</w:t>
            </w:r>
          </w:p>
        </w:tc>
      </w:tr>
      <w:tr>
        <w:tc>
          <w:tcPr>
            <w:tcW w:type="dxa" w:w="14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Near-duplicate</w:t>
            </w:r>
          </w:p>
        </w:tc>
        <w:tc>
          <w:tcPr>
            <w:tcW w:type="dxa" w:w="36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Similar value pair from the wrong entity used</w:t>
            </w:r>
          </w:p>
        </w:tc>
      </w:tr>
      <w:tr>
        <w:tc>
          <w:tcPr>
            <w:tcW w:type="dxa" w:w="14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Partial aggregation</w:t>
            </w:r>
          </w:p>
        </w:tc>
        <w:tc>
          <w:tcPr>
            <w:tcW w:type="dxa" w:w="36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Only one of multiple qualifying rows included</w:t>
            </w:r>
          </w:p>
        </w:tc>
      </w:tr>
      <w:tr>
        <w:tc>
          <w:tcPr>
            <w:tcW w:type="dxa" w:w="14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Sign error</w:t>
            </w:r>
          </w:p>
        </w:tc>
        <w:tc>
          <w:tcPr>
            <w:tcW w:type="dxa" w:w="36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Parenthesised accounting negatives treated as positive</w:t>
            </w:r>
          </w:p>
        </w:tc>
      </w:tr>
      <w:tr>
        <w:tc>
          <w:tcPr>
            <w:tcW w:type="dxa" w:w="14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Reference issue</w:t>
            </w:r>
          </w:p>
        </w:tc>
        <w:tc>
          <w:tcPr>
            <w:tcW w:type="dxa" w:w="36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Benchmark target conflicts with its own cited evidence</w:t>
            </w:r>
          </w:p>
        </w:tc>
      </w:tr>
    </w:tbl>
    <w:p>
      <w:pPr>
        <w:spacing w:after="60" w:line="240"/>
        <w:ind w:firstLine="288"/>
        <w:jc w:val="both"/>
      </w:pPr>
      <w:r>
        <w:rPr>
          <w:rFonts w:ascii="Times New Roman" w:cs="Times New Roman" w:eastAsia="Times New Roman" w:hAnsi="Times New Roman"/>
          <w:sz w:val="20"/>
          <w:szCs w:val="20"/>
        </w:rPr>
        <w:t xml:space="preserve">The final category warrants comment. In one item the annotated program adds a quantity the source records as negative, producing a reference answer arithmetically inconsistent with the evidence the annotation cites. The model was correct and the reference was not. No item-specific correction was applied, as adjusting scores after inspecting individual errors would constitute cherry-picking.</w:t>
      </w:r>
    </w:p>
    <w:p>
      <w:pPr>
        <w:spacing w:after="60" w:before="120"/>
        <w:jc w:val="left"/>
      </w:pPr>
      <w:r>
        <w:rPr>
          <w:rFonts w:ascii="Times New Roman" w:cs="Times New Roman" w:eastAsia="Times New Roman" w:hAnsi="Times New Roman"/>
          <w:i/>
          <w:iCs/>
          <w:sz w:val="20"/>
          <w:szCs w:val="20"/>
        </w:rPr>
        <w:t xml:space="preserve">B. Hallucination detector sensitivity</w:t>
      </w:r>
    </w:p>
    <w:p>
      <w:pPr>
        <w:spacing w:after="60" w:line="240"/>
        <w:ind w:firstLine="288"/>
        <w:jc w:val="both"/>
      </w:pPr>
      <w:r>
        <w:rPr>
          <w:rFonts w:ascii="Times New Roman" w:cs="Times New Roman" w:eastAsia="Times New Roman" w:hAnsi="Times New Roman"/>
          <w:sz w:val="20"/>
          <w:szCs w:val="20"/>
        </w:rPr>
        <w:t xml:space="preserve">An initial two-condition design produced eight of ten byte-identical responses between clean and adversarial conditions with no decoy in any response. Retrieval had filtered every injected sentence before generation. A third condition and an explicit manipulation check were added, because without the latter a null result cannot be distinguished from a failed manipulation, and those readings carry opposite implications.</w:t>
      </w:r>
    </w:p>
    <w:p>
      <w:pPr>
        <w:spacing w:after="60" w:before="140"/>
        <w:jc w:val="center"/>
      </w:pPr>
      <w:r>
        <w:rPr>
          <w:rFonts w:ascii="Times New Roman" w:cs="Times New Roman" w:eastAsia="Times New Roman" w:hAnsi="Times New Roman"/>
          <w:sz w:val="16"/>
          <w:szCs w:val="16"/>
        </w:rPr>
        <w:t xml:space="preserve">TABLE III</w:t>
        <w:br/>
        <w:t xml:space="preserve">DETECTOR SENSITIVITY BY INJECTION ROUTE (N = 10)</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60"/>
        <w:gridCol w:w="860"/>
        <w:gridCol w:w="860"/>
        <w:gridCol w:w="880"/>
        <w:gridCol w:w="880"/>
      </w:tblGrid>
      <w:tr>
        <w:trPr>
          <w:tblHeader/>
        </w:trPr>
        <w:tc>
          <w:tcPr>
            <w:tcW w:type="dxa" w:w="1560"/>
            <w:shd w:fill="E8E8E8" w:val="clear"/>
            <w:tcMar>
              <w:top w:type="dxa" w:w="30"/>
              <w:left w:type="dxa" w:w="60"/>
              <w:bottom w:type="dxa" w:w="30"/>
              <w:right w:type="dxa" w:w="60"/>
            </w:tcMar>
          </w:tcPr>
          <w:p>
            <w:pPr>
              <w:spacing w:after="0" w:line="220"/>
              <w:jc w:val="left"/>
            </w:pPr>
            <w:r>
              <w:rPr>
                <w:rFonts w:ascii="Times New Roman" w:cs="Times New Roman" w:eastAsia="Times New Roman" w:hAnsi="Times New Roman"/>
                <w:b/>
                <w:bCs/>
                <w:sz w:val="16"/>
                <w:szCs w:val="16"/>
              </w:rPr>
              <w:t xml:space="preserve">Condition</w:t>
            </w:r>
          </w:p>
        </w:tc>
        <w:tc>
          <w:tcPr>
            <w:tcW w:type="dxa" w:w="86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Reached</w:t>
            </w:r>
          </w:p>
        </w:tc>
        <w:tc>
          <w:tcPr>
            <w:tcW w:type="dxa" w:w="86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Acc.</w:t>
            </w:r>
          </w:p>
        </w:tc>
        <w:tc>
          <w:tcPr>
            <w:tcW w:type="dxa" w:w="88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NESS</w:t>
            </w:r>
          </w:p>
        </w:tc>
        <w:tc>
          <w:tcPr>
            <w:tcW w:type="dxa" w:w="88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Halluc.</w:t>
            </w:r>
          </w:p>
        </w:tc>
      </w:tr>
      <w:tr>
        <w:tc>
          <w:tcPr>
            <w:tcW w:type="dxa" w:w="156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Clean control</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0.00</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0.400</w:t>
            </w:r>
          </w:p>
        </w:tc>
        <w:tc>
          <w:tcPr>
            <w:tcW w:type="dxa" w:w="8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0.727</w:t>
            </w:r>
          </w:p>
        </w:tc>
        <w:tc>
          <w:tcPr>
            <w:tcW w:type="dxa" w:w="8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0.100</w:t>
            </w:r>
          </w:p>
        </w:tc>
      </w:tr>
      <w:tr>
        <w:tc>
          <w:tcPr>
            <w:tcW w:type="dxa" w:w="156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Document injection</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0.20</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0.400</w:t>
            </w:r>
          </w:p>
        </w:tc>
        <w:tc>
          <w:tcPr>
            <w:tcW w:type="dxa" w:w="8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0.722</w:t>
            </w:r>
          </w:p>
        </w:tc>
        <w:tc>
          <w:tcPr>
            <w:tcW w:type="dxa" w:w="8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0.100</w:t>
            </w:r>
          </w:p>
        </w:tc>
      </w:tr>
      <w:tr>
        <w:tc>
          <w:tcPr>
            <w:tcW w:type="dxa" w:w="156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Evidence injection</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1.00</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0.500</w:t>
            </w:r>
          </w:p>
        </w:tc>
        <w:tc>
          <w:tcPr>
            <w:tcW w:type="dxa" w:w="8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0.689</w:t>
            </w:r>
          </w:p>
        </w:tc>
        <w:tc>
          <w:tcPr>
            <w:tcW w:type="dxa" w:w="8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0.200</w:t>
            </w:r>
          </w:p>
        </w:tc>
      </w:tr>
    </w:tbl>
    <w:p>
      <w:pPr>
        <w:spacing w:after="60" w:line="240"/>
        <w:ind w:firstLine="288"/>
        <w:jc w:val="both"/>
      </w:pPr>
      <w:r>
        <w:rPr>
          <w:rFonts w:ascii="Times New Roman" w:cs="Times New Roman" w:eastAsia="Times New Roman" w:hAnsi="Times New Roman"/>
          <w:sz w:val="20"/>
          <w:szCs w:val="20"/>
        </w:rPr>
        <w:t xml:space="preserve">Retrieval filtered eighty per cent of document-level distractors, an empirical counterpart to the observation that retrieval augmentation reduces hallucination [2]. Once contamination reached the model the flag rate doubled and evidence support declined. The generator never adopted an injected value, so the movement reflects contaminated context rather than contaminated answers. These deltas correspond to single examples at this sample size and the intervals overlap; the mechanism is demonstrated but the magnitude is not established. The accuracy increase under evidence injection reflects one example flipping and must not be read as noise improving performance.</w:t>
      </w:r>
    </w:p>
    <w:p>
      <w:pPr>
        <w:spacing w:after="60" w:before="120"/>
        <w:jc w:val="left"/>
      </w:pPr>
      <w:r>
        <w:rPr>
          <w:rFonts w:ascii="Times New Roman" w:cs="Times New Roman" w:eastAsia="Times New Roman" w:hAnsi="Times New Roman"/>
          <w:i/>
          <w:iCs/>
          <w:sz w:val="20"/>
          <w:szCs w:val="20"/>
        </w:rPr>
        <w:t xml:space="preserve">C. Overconfidence quantification</w:t>
      </w:r>
    </w:p>
    <w:p>
      <w:pPr>
        <w:spacing w:after="60" w:line="240"/>
        <w:ind w:firstLine="288"/>
        <w:jc w:val="both"/>
      </w:pPr>
      <w:r>
        <w:rPr>
          <w:rFonts w:ascii="Times New Roman" w:cs="Times New Roman" w:eastAsia="Times New Roman" w:hAnsi="Times New Roman"/>
          <w:sz w:val="20"/>
          <w:szCs w:val="20"/>
        </w:rPr>
        <w:t xml:space="preserve">This experiment validates a measurement instrument. If the system is overconfident, a functioning calibration module reports a large error; a value near zero would leave nothing to detect and would not validate the module.</w:t>
      </w:r>
    </w:p>
    <w:p>
      <w:pPr>
        <w:spacing w:after="60" w:before="140"/>
        <w:jc w:val="center"/>
      </w:pPr>
      <w:r>
        <w:rPr>
          <w:rFonts w:ascii="Times New Roman" w:cs="Times New Roman" w:eastAsia="Times New Roman" w:hAnsi="Times New Roman"/>
          <w:sz w:val="16"/>
          <w:szCs w:val="16"/>
        </w:rPr>
        <w:t xml:space="preserve">TABLE IV</w:t>
        <w:br/>
        <w:t xml:space="preserve">CALIBRATION AND OVERCONFIDENCE (N = 50)</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400"/>
        <w:gridCol w:w="1640"/>
      </w:tblGrid>
      <w:tr>
        <w:trPr>
          <w:tblHeader/>
        </w:trPr>
        <w:tc>
          <w:tcPr>
            <w:tcW w:type="dxa" w:w="3400"/>
            <w:shd w:fill="E8E8E8" w:val="clear"/>
            <w:tcMar>
              <w:top w:type="dxa" w:w="30"/>
              <w:left w:type="dxa" w:w="60"/>
              <w:bottom w:type="dxa" w:w="30"/>
              <w:right w:type="dxa" w:w="60"/>
            </w:tcMar>
          </w:tcPr>
          <w:p>
            <w:pPr>
              <w:spacing w:after="0" w:line="220"/>
              <w:jc w:val="left"/>
            </w:pPr>
            <w:r>
              <w:rPr>
                <w:rFonts w:ascii="Times New Roman" w:cs="Times New Roman" w:eastAsia="Times New Roman" w:hAnsi="Times New Roman"/>
                <w:b/>
                <w:bCs/>
                <w:sz w:val="16"/>
                <w:szCs w:val="16"/>
              </w:rPr>
              <w:t xml:space="preserve">Quantity</w:t>
            </w:r>
          </w:p>
        </w:tc>
        <w:tc>
          <w:tcPr>
            <w:tcW w:type="dxa" w:w="164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Value</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Accuracy</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0.3400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Mean self-reported confidence</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0.8960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Mean confidence, correct answers</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0.9118</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Mean confidence, incorrect answers</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0.8879</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Confidence gap</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0.0239</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Overconfidence gap</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0.5560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High-confidence errors</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0.6400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ECE of self-reported confidence</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0.5560</w:t>
            </w:r>
          </w:p>
        </w:tc>
      </w:tr>
    </w:tbl>
    <w:p>
      <w:pPr>
        <w:spacing w:after="60" w:line="240"/>
        <w:ind w:firstLine="288"/>
        <w:jc w:val="both"/>
      </w:pPr>
      <w:r>
        <w:rPr>
          <w:rFonts w:ascii="Times New Roman" w:cs="Times New Roman" w:eastAsia="Times New Roman" w:hAnsi="Times New Roman"/>
          <w:sz w:val="20"/>
          <w:szCs w:val="20"/>
        </w:rPr>
        <w:t xml:space="preserve">Confidence on correct and incorrect answers differs by 0.024 on a unit scale, so the stated signal carries almost no information about correctness. Stated confidence exceeds accuracy by 0.556, and 64% of responses were confidently wrong at a threshold of 0.8. This is a stronger form of the miscalibration reported for logit-derived probabilities [15] and is consistent with the mixed results obtained when eliciting self-assessment in natural language [16].</w:t>
      </w:r>
    </w:p>
    <w:p>
      <w:pPr>
        <w:spacing w:after="60" w:before="120"/>
        <w:jc w:val="left"/>
      </w:pPr>
      <w:r>
        <w:rPr>
          <w:rFonts w:ascii="Times New Roman" w:cs="Times New Roman" w:eastAsia="Times New Roman" w:hAnsi="Times New Roman"/>
          <w:i/>
          <w:iCs/>
          <w:sz w:val="20"/>
          <w:szCs w:val="20"/>
        </w:rPr>
        <w:t xml:space="preserve">D. Composite response to graded noise</w:t>
      </w:r>
    </w:p>
    <w:p>
      <w:pPr>
        <w:spacing w:after="60" w:line="240"/>
        <w:ind w:firstLine="288"/>
        <w:jc w:val="both"/>
      </w:pPr>
      <w:r>
        <w:rPr>
          <w:rFonts w:ascii="Times New Roman" w:cs="Times New Roman" w:eastAsia="Times New Roman" w:hAnsi="Times New Roman"/>
          <w:sz w:val="20"/>
          <w:szCs w:val="20"/>
        </w:rPr>
        <w:t xml:space="preserve">Distractors were injected into the evidence block after retrieval, guaranteeing delivery, at five graded levels over fifty items each.</w:t>
      </w:r>
    </w:p>
    <w:p>
      <w:pPr>
        <w:spacing w:after="60" w:before="140"/>
        <w:jc w:val="center"/>
      </w:pPr>
      <w:r>
        <w:rPr>
          <w:rFonts w:ascii="Times New Roman" w:cs="Times New Roman" w:eastAsia="Times New Roman" w:hAnsi="Times New Roman"/>
          <w:sz w:val="16"/>
          <w:szCs w:val="16"/>
        </w:rPr>
        <w:t xml:space="preserve">TABLE V</w:t>
        <w:br/>
        <w:t xml:space="preserve">METRIC RESPONSE TO GRADED CONTEXT NOISE (N = 50 PER LEVEL)</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740"/>
        <w:gridCol w:w="800"/>
        <w:gridCol w:w="940"/>
        <w:gridCol w:w="900"/>
        <w:gridCol w:w="800"/>
        <w:gridCol w:w="860"/>
      </w:tblGrid>
      <w:tr>
        <w:trPr>
          <w:tblHeader/>
        </w:trPr>
        <w:tc>
          <w:tcPr>
            <w:tcW w:type="dxa" w:w="740"/>
            <w:shd w:fill="E8E8E8" w:val="clear"/>
            <w:tcMar>
              <w:top w:type="dxa" w:w="30"/>
              <w:left w:type="dxa" w:w="60"/>
              <w:bottom w:type="dxa" w:w="30"/>
              <w:right w:type="dxa" w:w="60"/>
            </w:tcMar>
          </w:tcPr>
          <w:p>
            <w:pPr>
              <w:spacing w:after="0" w:line="220"/>
              <w:jc w:val="left"/>
            </w:pPr>
            <w:r>
              <w:rPr>
                <w:rFonts w:ascii="Times New Roman" w:cs="Times New Roman" w:eastAsia="Times New Roman" w:hAnsi="Times New Roman"/>
                <w:b/>
                <w:bCs/>
                <w:sz w:val="16"/>
                <w:szCs w:val="16"/>
              </w:rPr>
              <w:t xml:space="preserve">Noise</w:t>
            </w:r>
          </w:p>
        </w:tc>
        <w:tc>
          <w:tcPr>
            <w:tcW w:type="dxa" w:w="80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Acc.</w:t>
            </w:r>
          </w:p>
        </w:tc>
        <w:tc>
          <w:tcPr>
            <w:tcW w:type="dxa" w:w="94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NESS</w:t>
            </w:r>
          </w:p>
        </w:tc>
        <w:tc>
          <w:tcPr>
            <w:tcW w:type="dxa" w:w="90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Halluc.</w:t>
            </w:r>
          </w:p>
        </w:tc>
        <w:tc>
          <w:tcPr>
            <w:tcW w:type="dxa" w:w="80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ECE</w:t>
            </w:r>
          </w:p>
        </w:tc>
        <w:tc>
          <w:tcPr>
            <w:tcW w:type="dxa" w:w="86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ONRS</w:t>
            </w:r>
          </w:p>
        </w:tc>
      </w:tr>
      <w:tr>
        <w:tc>
          <w:tcPr>
            <w:tcW w:type="dxa" w:w="7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0%</w:t>
            </w:r>
          </w:p>
        </w:tc>
        <w:tc>
          <w:tcPr>
            <w:tcW w:type="dxa" w:w="8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0.340</w:t>
            </w:r>
          </w:p>
        </w:tc>
        <w:tc>
          <w:tcPr>
            <w:tcW w:type="dxa" w:w="9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0.7145</w:t>
            </w:r>
          </w:p>
        </w:tc>
        <w:tc>
          <w:tcPr>
            <w:tcW w:type="dxa" w:w="9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0.080</w:t>
            </w:r>
          </w:p>
        </w:tc>
        <w:tc>
          <w:tcPr>
            <w:tcW w:type="dxa" w:w="8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0.556</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0.5891</w:t>
            </w:r>
          </w:p>
        </w:tc>
      </w:tr>
      <w:tr>
        <w:tc>
          <w:tcPr>
            <w:tcW w:type="dxa" w:w="7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10%</w:t>
            </w:r>
          </w:p>
        </w:tc>
        <w:tc>
          <w:tcPr>
            <w:tcW w:type="dxa" w:w="8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0.300</w:t>
            </w:r>
          </w:p>
        </w:tc>
        <w:tc>
          <w:tcPr>
            <w:tcW w:type="dxa" w:w="9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0.7109</w:t>
            </w:r>
          </w:p>
        </w:tc>
        <w:tc>
          <w:tcPr>
            <w:tcW w:type="dxa" w:w="9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0.100</w:t>
            </w:r>
          </w:p>
        </w:tc>
        <w:tc>
          <w:tcPr>
            <w:tcW w:type="dxa" w:w="8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0.580</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0.5673</w:t>
            </w:r>
          </w:p>
        </w:tc>
      </w:tr>
      <w:tr>
        <w:tc>
          <w:tcPr>
            <w:tcW w:type="dxa" w:w="7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20%</w:t>
            </w:r>
          </w:p>
        </w:tc>
        <w:tc>
          <w:tcPr>
            <w:tcW w:type="dxa" w:w="8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0.380</w:t>
            </w:r>
          </w:p>
        </w:tc>
        <w:tc>
          <w:tcPr>
            <w:tcW w:type="dxa" w:w="9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0.7114</w:t>
            </w:r>
          </w:p>
        </w:tc>
        <w:tc>
          <w:tcPr>
            <w:tcW w:type="dxa" w:w="9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0.120</w:t>
            </w:r>
          </w:p>
        </w:tc>
        <w:tc>
          <w:tcPr>
            <w:tcW w:type="dxa" w:w="8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0.492</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0.6050</w:t>
            </w:r>
          </w:p>
        </w:tc>
      </w:tr>
      <w:tr>
        <w:tc>
          <w:tcPr>
            <w:tcW w:type="dxa" w:w="7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30%</w:t>
            </w:r>
          </w:p>
        </w:tc>
        <w:tc>
          <w:tcPr>
            <w:tcW w:type="dxa" w:w="8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0.360</w:t>
            </w:r>
          </w:p>
        </w:tc>
        <w:tc>
          <w:tcPr>
            <w:tcW w:type="dxa" w:w="9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0.6922</w:t>
            </w:r>
          </w:p>
        </w:tc>
        <w:tc>
          <w:tcPr>
            <w:tcW w:type="dxa" w:w="9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0.100</w:t>
            </w:r>
          </w:p>
        </w:tc>
        <w:tc>
          <w:tcPr>
            <w:tcW w:type="dxa" w:w="8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0.524</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0.5909</w:t>
            </w:r>
          </w:p>
        </w:tc>
      </w:tr>
      <w:tr>
        <w:tc>
          <w:tcPr>
            <w:tcW w:type="dxa" w:w="7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40%</w:t>
            </w:r>
          </w:p>
        </w:tc>
        <w:tc>
          <w:tcPr>
            <w:tcW w:type="dxa" w:w="8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0.320</w:t>
            </w:r>
          </w:p>
        </w:tc>
        <w:tc>
          <w:tcPr>
            <w:tcW w:type="dxa" w:w="9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0.7132</w:t>
            </w:r>
          </w:p>
        </w:tc>
        <w:tc>
          <w:tcPr>
            <w:tcW w:type="dxa" w:w="9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0.120</w:t>
            </w:r>
          </w:p>
        </w:tc>
        <w:tc>
          <w:tcPr>
            <w:tcW w:type="dxa" w:w="8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0.568</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0.5724</w:t>
            </w:r>
          </w:p>
        </w:tc>
      </w:tr>
    </w:tbl>
    <w:p>
      <w:pPr>
        <w:spacing w:after="60" w:line="240"/>
        <w:ind w:firstLine="288"/>
        <w:jc w:val="both"/>
      </w:pPr>
      <w:r>
        <w:rPr>
          <w:rFonts w:ascii="Times New Roman" w:cs="Times New Roman" w:eastAsia="Times New Roman" w:hAnsi="Times New Roman"/>
          <w:sz w:val="20"/>
          <w:szCs w:val="20"/>
        </w:rPr>
        <w:t xml:space="preserve">The composite declined by 0.017 overall but not monotonically, oscillating within a band of 0.038 while accuracy alone varied by 0.080. Its correlation with noise level is −0.10. The hallucination rate correlates +0.76 with noise and exceeds the clean baseline at every level. The aggregate therefore failed to signal a degradation that one of its own components detected.</w:t>
      </w:r>
    </w:p>
    <w:p>
      <w:pPr>
        <w:spacing w:after="60" w:before="120"/>
        <w:jc w:val="left"/>
      </w:pPr>
      <w:r>
        <w:rPr>
          <w:rFonts w:ascii="Times New Roman" w:cs="Times New Roman" w:eastAsia="Times New Roman" w:hAnsi="Times New Roman"/>
          <w:i/>
          <w:iCs/>
          <w:sz w:val="20"/>
          <w:szCs w:val="20"/>
        </w:rPr>
        <w:t xml:space="preserve">E. Controlled comparison across evidence conditions</w:t>
      </w:r>
    </w:p>
    <w:p>
      <w:pPr>
        <w:spacing w:after="60" w:line="240"/>
        <w:ind w:firstLine="288"/>
        <w:jc w:val="both"/>
      </w:pPr>
      <w:r>
        <w:rPr>
          <w:rFonts w:ascii="Times New Roman" w:cs="Times New Roman" w:eastAsia="Times New Roman" w:hAnsi="Times New Roman"/>
          <w:sz w:val="20"/>
          <w:szCs w:val="20"/>
        </w:rPr>
        <w:t xml:space="preserve">Comparing against published FinQA figures is informative but not controlled, since those systems differ in architecture, training regime, split and scorer simultaneously. A fifth experiment therefore holds items, generator, prompt, scoring, answer resolution and verifier fixed, varying only the evidence supplied. The oracle condition substitutes the benchmark’s own annotated gold evidence, deliberately mirroring the gold-retrieval setting reported separately by its authors.</w:t>
      </w:r>
    </w:p>
    <w:p>
      <w:pPr>
        <w:spacing w:after="60" w:before="140"/>
        <w:jc w:val="center"/>
      </w:pPr>
      <w:r>
        <w:rPr>
          <w:rFonts w:ascii="Times New Roman" w:cs="Times New Roman" w:eastAsia="Times New Roman" w:hAnsi="Times New Roman"/>
          <w:sz w:val="16"/>
          <w:szCs w:val="16"/>
        </w:rPr>
        <w:t xml:space="preserve">TABLE VI</w:t>
        <w:br/>
        <w:t xml:space="preserve">COMPARATIVE BASELINES ON IDENTICAL DATA (N = 50)</w:t>
      </w:r>
    </w:p>
    <w:tbl>
      <w:tblPr>
        <w:tblW w:type="dxa" w:w="5240"/>
        <w:tblBorders>
          <w:top w:val="single" w:color="auto" w:sz="4"/>
          <w:left w:val="single" w:color="auto" w:sz="4"/>
          <w:bottom w:val="single" w:color="auto" w:sz="4"/>
          <w:right w:val="single" w:color="auto" w:sz="4"/>
          <w:insideH w:val="single" w:color="auto" w:sz="4"/>
          <w:insideV w:val="single" w:color="auto" w:sz="4"/>
        </w:tblBorders>
      </w:tblPr>
      <w:tblGrid>
        <w:gridCol w:w="1180"/>
        <w:gridCol w:w="700"/>
        <w:gridCol w:w="1180"/>
        <w:gridCol w:w="700"/>
        <w:gridCol w:w="780"/>
        <w:gridCol w:w="700"/>
      </w:tblGrid>
      <w:tr>
        <w:trPr>
          <w:tblHeader/>
        </w:trPr>
        <w:tc>
          <w:tcPr>
            <w:tcW w:type="dxa" w:w="1180"/>
            <w:shd w:fill="E8E8E8" w:val="clear"/>
            <w:tcMar>
              <w:top w:type="dxa" w:w="30"/>
              <w:left w:type="dxa" w:w="60"/>
              <w:bottom w:type="dxa" w:w="30"/>
              <w:right w:type="dxa" w:w="60"/>
            </w:tcMar>
          </w:tcPr>
          <w:p>
            <w:pPr>
              <w:spacing w:after="0" w:line="220"/>
              <w:jc w:val="left"/>
            </w:pPr>
            <w:r>
              <w:rPr>
                <w:rFonts w:ascii="Times New Roman" w:cs="Times New Roman" w:eastAsia="Times New Roman" w:hAnsi="Times New Roman"/>
                <w:b/>
                <w:bCs/>
                <w:sz w:val="16"/>
                <w:szCs w:val="16"/>
              </w:rPr>
              <w:t xml:space="preserve">Condition</w:t>
            </w:r>
          </w:p>
        </w:tc>
        <w:tc>
          <w:tcPr>
            <w:tcW w:type="dxa" w:w="70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Acc.</w:t>
            </w:r>
          </w:p>
        </w:tc>
        <w:tc>
          <w:tcPr>
            <w:tcW w:type="dxa" w:w="118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95% CI</w:t>
            </w:r>
          </w:p>
        </w:tc>
        <w:tc>
          <w:tcPr>
            <w:tcW w:type="dxa" w:w="70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NESS</w:t>
            </w:r>
          </w:p>
        </w:tc>
        <w:tc>
          <w:tcPr>
            <w:tcW w:type="dxa" w:w="78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Halluc.</w:t>
            </w:r>
          </w:p>
        </w:tc>
        <w:tc>
          <w:tcPr>
            <w:tcW w:type="dxa" w:w="70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ONRS</w:t>
            </w:r>
          </w:p>
        </w:tc>
      </w:tr>
      <w:tr>
        <w:tc>
          <w:tcPr>
            <w:tcW w:type="dxa" w:w="118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Closed-book</w:t>
            </w:r>
          </w:p>
        </w:tc>
        <w:tc>
          <w:tcPr>
            <w:tcW w:type="dxa" w:w="7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0.000</w:t>
            </w:r>
          </w:p>
        </w:tc>
        <w:tc>
          <w:tcPr>
            <w:tcW w:type="dxa" w:w="11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[0.00, 0.07]</w:t>
            </w:r>
          </w:p>
        </w:tc>
        <w:tc>
          <w:tcPr>
            <w:tcW w:type="dxa" w:w="7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0.000</w:t>
            </w:r>
          </w:p>
        </w:tc>
        <w:tc>
          <w:tcPr>
            <w:tcW w:type="dxa" w:w="7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1.000</w:t>
            </w:r>
          </w:p>
        </w:tc>
        <w:tc>
          <w:tcPr>
            <w:tcW w:type="dxa" w:w="7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0.096</w:t>
            </w:r>
          </w:p>
        </w:tc>
      </w:tr>
      <w:tr>
        <w:tc>
          <w:tcPr>
            <w:tcW w:type="dxa" w:w="118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Retrieval</w:t>
            </w:r>
          </w:p>
        </w:tc>
        <w:tc>
          <w:tcPr>
            <w:tcW w:type="dxa" w:w="7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0.340</w:t>
            </w:r>
          </w:p>
        </w:tc>
        <w:tc>
          <w:tcPr>
            <w:tcW w:type="dxa" w:w="11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[0.22, 0.48]</w:t>
            </w:r>
          </w:p>
        </w:tc>
        <w:tc>
          <w:tcPr>
            <w:tcW w:type="dxa" w:w="7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0.715</w:t>
            </w:r>
          </w:p>
        </w:tc>
        <w:tc>
          <w:tcPr>
            <w:tcW w:type="dxa" w:w="7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0.080</w:t>
            </w:r>
          </w:p>
        </w:tc>
        <w:tc>
          <w:tcPr>
            <w:tcW w:type="dxa" w:w="7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0.589</w:t>
            </w:r>
          </w:p>
        </w:tc>
      </w:tr>
      <w:tr>
        <w:tc>
          <w:tcPr>
            <w:tcW w:type="dxa" w:w="118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Oracle</w:t>
            </w:r>
          </w:p>
        </w:tc>
        <w:tc>
          <w:tcPr>
            <w:tcW w:type="dxa" w:w="7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0.420</w:t>
            </w:r>
          </w:p>
        </w:tc>
        <w:tc>
          <w:tcPr>
            <w:tcW w:type="dxa" w:w="11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[0.29, 0.56]</w:t>
            </w:r>
          </w:p>
        </w:tc>
        <w:tc>
          <w:tcPr>
            <w:tcW w:type="dxa" w:w="7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0.628</w:t>
            </w:r>
          </w:p>
        </w:tc>
        <w:tc>
          <w:tcPr>
            <w:tcW w:type="dxa" w:w="7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0.200</w:t>
            </w:r>
          </w:p>
        </w:tc>
        <w:tc>
          <w:tcPr>
            <w:tcW w:type="dxa" w:w="7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0.581</w:t>
            </w:r>
          </w:p>
        </w:tc>
      </w:tr>
    </w:tbl>
    <w:p>
      <w:pPr>
        <w:spacing w:after="60" w:line="240"/>
        <w:ind w:firstLine="288"/>
        <w:jc w:val="both"/>
      </w:pPr>
      <w:r>
        <w:rPr>
          <w:rFonts w:ascii="Times New Roman" w:cs="Times New Roman" w:eastAsia="Times New Roman" w:hAnsi="Times New Roman"/>
          <w:sz w:val="20"/>
          <w:szCs w:val="20"/>
        </w:rPr>
        <w:t xml:space="preserve">Three results follow. The closed-book condition scores zero, confirming that no sampled item is answerable from parametric knowledge alone: the benchmark does not leak and retrieval supplies the entire accuracy of the system. The detector flags every closed-book response, providing a positive control that complements the adversarial test in Section V-B by demonstrating the module responds when grounding is absent altogether.</w:t>
      </w:r>
    </w:p>
    <w:p>
      <w:pPr>
        <w:spacing w:after="60" w:line="240"/>
        <w:ind w:firstLine="288"/>
        <w:jc w:val="both"/>
      </w:pPr>
      <w:r>
        <w:rPr>
          <w:rFonts w:ascii="Times New Roman" w:cs="Times New Roman" w:eastAsia="Times New Roman" w:hAnsi="Times New Roman"/>
          <w:sz w:val="20"/>
          <w:szCs w:val="20"/>
        </w:rPr>
        <w:t xml:space="preserve">Second, and most consequential, supplying perfect evidence raises accuracy only from 0.340 to 0.420. Of the remaining error, approximately twelve per cent is retrieval-attributable and recoverable by improving retrieval, while approximately eighty-eight per cent persists with ideal evidence and is bounded by the generator’s reasoning. This explains, retrospectively, why the two modifications in Section IV-E could not have succeeded: the entire headroom available to them was eight accuracy points. It also redirects future effort from retrieval engineering toward generator capacity.</w:t>
      </w:r>
    </w:p>
    <w:p>
      <w:pPr>
        <w:spacing w:after="60" w:line="240"/>
        <w:ind w:firstLine="288"/>
        <w:jc w:val="both"/>
      </w:pPr>
      <w:r>
        <w:rPr>
          <w:rFonts w:ascii="Times New Roman" w:cs="Times New Roman" w:eastAsia="Times New Roman" w:hAnsi="Times New Roman"/>
          <w:sz w:val="20"/>
          <w:szCs w:val="20"/>
        </w:rPr>
        <w:t xml:space="preserve">Third, the oracle condition is more accurate than the retrieval condition yet the composite ranks it lower, at 0.581 against 0.589. A summary score that inverts the ordering of two configurations on the metric of primary interest is not serving its purpose, a point developed in Section VI-B. The lower oracle evidence-support figure is an artefact of evidence size rather than degraded grounding: gold evidence is a far smaller block containing only strictly necessary lines, so fewer response numbers find a literal match.</w:t>
      </w:r>
    </w:p>
    <w:p>
      <w:pPr>
        <w:spacing w:after="100" w:before="200"/>
        <w:jc w:val="center"/>
      </w:pPr>
      <w:r>
        <w:rPr>
          <w:rFonts w:ascii="Times New Roman" w:cs="Times New Roman" w:eastAsia="Times New Roman" w:hAnsi="Times New Roman"/>
          <w:sz w:val="20"/>
          <w:szCs w:val="20"/>
        </w:rPr>
        <w:t xml:space="preserve">VI. DISCUSSION</w:t>
      </w:r>
    </w:p>
    <w:p>
      <w:pPr>
        <w:spacing w:after="60" w:before="120"/>
        <w:jc w:val="left"/>
      </w:pPr>
      <w:r>
        <w:rPr>
          <w:rFonts w:ascii="Times New Roman" w:cs="Times New Roman" w:eastAsia="Times New Roman" w:hAnsi="Times New Roman"/>
          <w:i/>
          <w:iCs/>
          <w:sz w:val="20"/>
          <w:szCs w:val="20"/>
        </w:rPr>
        <w:t xml:space="preserve">A. Accuracy in context</w:t>
      </w:r>
    </w:p>
    <w:p>
      <w:pPr>
        <w:spacing w:after="60" w:before="140"/>
        <w:jc w:val="center"/>
      </w:pPr>
      <w:r>
        <w:rPr>
          <w:rFonts w:ascii="Times New Roman" w:cs="Times New Roman" w:eastAsia="Times New Roman" w:hAnsi="Times New Roman"/>
          <w:sz w:val="16"/>
          <w:szCs w:val="16"/>
        </w:rPr>
        <w:t xml:space="preserve">TABLE VII</w:t>
        <w:br/>
        <w:t xml:space="preserve">PUBLISHED FINQA EXECUTION ACCURACY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560"/>
        <w:gridCol w:w="1480"/>
      </w:tblGrid>
      <w:tr>
        <w:trPr>
          <w:tblHeader/>
        </w:trPr>
        <w:tc>
          <w:tcPr>
            <w:tcW w:type="dxa" w:w="3560"/>
            <w:shd w:fill="E8E8E8" w:val="clear"/>
            <w:tcMar>
              <w:top w:type="dxa" w:w="30"/>
              <w:left w:type="dxa" w:w="60"/>
              <w:bottom w:type="dxa" w:w="30"/>
              <w:right w:type="dxa" w:w="60"/>
            </w:tcMar>
          </w:tcPr>
          <w:p>
            <w:pPr>
              <w:spacing w:after="0" w:line="220"/>
              <w:jc w:val="left"/>
            </w:pPr>
            <w:r>
              <w:rPr>
                <w:rFonts w:ascii="Times New Roman" w:cs="Times New Roman" w:eastAsia="Times New Roman" w:hAnsi="Times New Roman"/>
                <w:b/>
                <w:bCs/>
                <w:sz w:val="16"/>
                <w:szCs w:val="16"/>
              </w:rPr>
              <w:t xml:space="preserve">System</w:t>
            </w:r>
          </w:p>
        </w:tc>
        <w:tc>
          <w:tcPr>
            <w:tcW w:type="dxa" w:w="148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Accuracy</w:t>
            </w:r>
          </w:p>
        </w:tc>
      </w:tr>
      <w:tr>
        <w:tc>
          <w:tcPr>
            <w:tcW w:type="dxa" w:w="356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Human expert [4]</w:t>
            </w:r>
          </w:p>
        </w:tc>
        <w:tc>
          <w:tcPr>
            <w:tcW w:type="dxa" w:w="14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91.16%</w:t>
            </w:r>
          </w:p>
        </w:tc>
      </w:tr>
      <w:tr>
        <w:tc>
          <w:tcPr>
            <w:tcW w:type="dxa" w:w="356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FinQANet, RoBERTa-large, gold retrieval [4]</w:t>
            </w:r>
          </w:p>
        </w:tc>
        <w:tc>
          <w:tcPr>
            <w:tcW w:type="dxa" w:w="14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70.0%</w:t>
            </w:r>
          </w:p>
        </w:tc>
      </w:tr>
      <w:tr>
        <w:tc>
          <w:tcPr>
            <w:tcW w:type="dxa" w:w="356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FinQANet, RoBERTa-large [4]</w:t>
            </w:r>
          </w:p>
        </w:tc>
        <w:tc>
          <w:tcPr>
            <w:tcW w:type="dxa" w:w="14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61.24%</w:t>
            </w:r>
          </w:p>
        </w:tc>
      </w:tr>
      <w:tr>
        <w:tc>
          <w:tcPr>
            <w:tcW w:type="dxa" w:w="356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General crowd worker [4]</w:t>
            </w:r>
          </w:p>
        </w:tc>
        <w:tc>
          <w:tcPr>
            <w:tcW w:type="dxa" w:w="14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50.68%</w:t>
            </w:r>
          </w:p>
        </w:tc>
      </w:tr>
      <w:tr>
        <w:tc>
          <w:tcPr>
            <w:tcW w:type="dxa" w:w="356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This system, oracle evidence</w:t>
            </w:r>
          </w:p>
        </w:tc>
        <w:tc>
          <w:tcPr>
            <w:tcW w:type="dxa" w:w="14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42.0%</w:t>
            </w:r>
          </w:p>
        </w:tc>
      </w:tr>
      <w:tr>
        <w:tc>
          <w:tcPr>
            <w:tcW w:type="dxa" w:w="356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This system, retrieval</w:t>
            </w:r>
          </w:p>
        </w:tc>
        <w:tc>
          <w:tcPr>
            <w:tcW w:type="dxa" w:w="14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34.0%</w:t>
            </w:r>
          </w:p>
        </w:tc>
      </w:tr>
    </w:tbl>
    <w:p>
      <w:pPr>
        <w:spacing w:after="60" w:line="240"/>
        <w:ind w:firstLine="288"/>
        <w:jc w:val="both"/>
      </w:pPr>
      <w:r>
        <w:rPr>
          <w:rFonts w:ascii="Times New Roman" w:cs="Times New Roman" w:eastAsia="Times New Roman" w:hAnsi="Times New Roman"/>
          <w:sz w:val="20"/>
          <w:szCs w:val="20"/>
        </w:rPr>
        <w:t xml:space="preserve">The benchmark is unsaturated: human experts reach 91.16% and the strongest published model in the original work 61.24%, so no system approaches ceiling and a figure near unity would warrant scrutiny of the evaluation rather than confidence in the system. The comparison systems are not comparable in kind, being fine-tuned on the training split with a task-specific program-generation architecture and evaluated on the test split by their own scorer, whereas the present system is general-purpose, used few-shot, quantised to 4-bit at 3B parameters on a 4 GB consumer device. The gap is attributable to fine-tuning, scale and quantisation in that order. These figures are retained as context; Section V-E supplies the controlled comparison that supports causal claims. Notably, the oracle condition at 42.0% remains well below the 70.0% gold-retrieval figure reported for a fine-tuned system, which localises the deficit to the generator rather than to evidence quality.</w:t>
      </w:r>
    </w:p>
    <w:p>
      <w:pPr>
        <w:spacing w:after="60" w:before="120"/>
        <w:jc w:val="left"/>
      </w:pPr>
      <w:r>
        <w:rPr>
          <w:rFonts w:ascii="Times New Roman" w:cs="Times New Roman" w:eastAsia="Times New Roman" w:hAnsi="Times New Roman"/>
          <w:i/>
          <w:iCs/>
          <w:sz w:val="20"/>
          <w:szCs w:val="20"/>
        </w:rPr>
        <w:t xml:space="preserve">B. Two independent failures of the composite</w:t>
      </w:r>
    </w:p>
    <w:p>
      <w:pPr>
        <w:spacing w:after="60" w:line="240"/>
        <w:ind w:firstLine="288"/>
        <w:jc w:val="both"/>
      </w:pPr>
      <w:r>
        <w:rPr>
          <w:rFonts w:ascii="Times New Roman" w:cs="Times New Roman" w:eastAsia="Times New Roman" w:hAnsi="Times New Roman"/>
          <w:sz w:val="20"/>
          <w:szCs w:val="20"/>
        </w:rPr>
        <w:t xml:space="preserve">That the composite did not track noise has a cause visible in the data. Because self-reported confidence is near-constant at approximately 0.90, calibration error becomes an almost deterministic function of accuracy: across the five noise levels their correlation is −0.97, and the error closely tracks 0.90 minus accuracy. The calibration term therefore carries essentially no independent information, so the nominal 0.30 weight on accuracy is in practice approximately 0.50, with a further 0.20 entering through the degenerate term. The aggregate inherits accuracy’s full instability, which at this sample size exceeds the effect being measured, and its correlation with accuracy is +0.98.</w:t>
      </w:r>
    </w:p>
    <w:p>
      <w:pPr>
        <w:spacing w:after="60" w:line="240"/>
        <w:ind w:firstLine="288"/>
        <w:jc w:val="both"/>
      </w:pPr>
      <w:r>
        <w:rPr>
          <w:rFonts w:ascii="Times New Roman" w:cs="Times New Roman" w:eastAsia="Times New Roman" w:hAnsi="Times New Roman"/>
          <w:sz w:val="20"/>
          <w:szCs w:val="20"/>
        </w:rPr>
        <w:t xml:space="preserve">The ranking inversion in Section V-E is a second and independent failure. It does not depend on correlation analysis or on sample size: one configuration is unambiguously more accurate than another on the same items under the same scorer, and the composite orders them the wrong way. Together these establish that the aggregate is unfit as a summary measure in this configuration. The degeneracy is a property of the confidence signal rather than of the weighting alone; logit-derived confidence [15] varies with input difficulty and would not collapse in this manner, whereas prompted self-assessment [16] evidently can. Three revisions follow: replace prompted confidence with a probability-derived signal, re-weight or orthogonalise so accuracy is not double-counted, and report components alongside any aggregate.</w:t>
      </w:r>
    </w:p>
    <w:p>
      <w:pPr>
        <w:spacing w:after="60" w:line="240"/>
        <w:ind w:firstLine="288"/>
        <w:jc w:val="both"/>
      </w:pPr>
      <w:r>
        <w:rPr>
          <w:rFonts w:ascii="Times New Roman" w:cs="Times New Roman" w:eastAsia="Times New Roman" w:hAnsi="Times New Roman"/>
          <w:sz w:val="20"/>
          <w:szCs w:val="20"/>
        </w:rPr>
        <w:t xml:space="preserve">Neither failure is an artefact of the chosen weights. The recorded component values from Sections V-D and V-E were re-scored post hoc under every weighting on a 0.05 grid over the four weights, 1,771 vectors each summing to one, with no new generations. A weighting was counted as tracking noise if its correlation with noise level was at most −0.5, and as ranking correctly if it ordered oracle above retrieval above closed-book. Of all weightings, 19.2% track noise and 43.5% rank correctly, but none does both. Every weighting that tracks noise places at most 0.35 of its total weight on accuracy and calibration combined, whereas every weighting that ranks correctly places at least 0.50 there. The oracle condition scores lower on precisely the two components that respond to noise, NESS and hallucination rate (Table VI), so its advantage is visible only through terms that do not respond to noise at this sample size. Among correctly ranking weightings the strongest achievable noise correlation is −0.16, and the result is unchanged on a 0.01 grid. Re-weighting is therefore necessary but not sufficient: the components themselves must change. Because the sweep selects and evaluates on the same fifty-item conditions, this should be confirmed on a larger held-out run.</w:t>
      </w:r>
    </w:p>
    <w:p>
      <w:pPr>
        <w:spacing w:after="60" w:before="120"/>
        <w:jc w:val="left"/>
      </w:pPr>
      <w:r>
        <w:rPr>
          <w:rFonts w:ascii="Times New Roman" w:cs="Times New Roman" w:eastAsia="Times New Roman" w:hAnsi="Times New Roman"/>
          <w:i/>
          <w:iCs/>
          <w:sz w:val="20"/>
          <w:szCs w:val="20"/>
        </w:rPr>
        <w:t xml:space="preserve">C. Threats to validity</w:t>
      </w:r>
    </w:p>
    <w:p>
      <w:pPr>
        <w:spacing w:after="60" w:line="240"/>
        <w:ind w:firstLine="288"/>
        <w:jc w:val="both"/>
      </w:pPr>
      <w:r>
        <w:rPr>
          <w:rFonts w:ascii="Times New Roman" w:cs="Times New Roman" w:eastAsia="Times New Roman" w:hAnsi="Times New Roman"/>
          <w:sz w:val="20"/>
          <w:szCs w:val="20"/>
        </w:rPr>
        <w:t xml:space="preserve">The principal threat is answer instability. While evaluating the two reverted modifications, approximately twenty-eight per cent of answers changed between runs differing only in retrieval depth, a variable unrelated to the questions. This is comparable to or larger than several measured effects and is the dominant limitation on Sections V-B and V-D. Further limitations include sample sizes of ten for the adversarial experiment; a single seed with greedy decoding, leaving cross-seed variance uncharacterised; no ablation separating quantisation error from scale; benchmark annotation noise, of which one instance was confirmed but whose rate was not estimated; and the fact that evidence support measures numeric overlap rather than entailment. A model dividing correct operands in the wrong order produces a derivable and therefore supported value; accuracy and the verifier, not the support measure, detect that case. This is the intrinsic-versus-extrinsic distinction of [10], and the measure addresses only the extrinsic form.</w:t>
      </w:r>
    </w:p>
    <w:p>
      <w:pPr>
        <w:spacing w:after="60" w:before="120"/>
        <w:jc w:val="left"/>
      </w:pPr>
      <w:r>
        <w:rPr>
          <w:rFonts w:ascii="Times New Roman" w:cs="Times New Roman" w:eastAsia="Times New Roman" w:hAnsi="Times New Roman"/>
          <w:i/>
          <w:iCs/>
          <w:sz w:val="20"/>
          <w:szCs w:val="20"/>
        </w:rPr>
        <w:t xml:space="preserve">D. Implications for evaluation practice</w:t>
      </w:r>
    </w:p>
    <w:p>
      <w:pPr>
        <w:spacing w:after="60" w:line="240"/>
        <w:ind w:firstLine="288"/>
        <w:jc w:val="both"/>
      </w:pPr>
      <w:r>
        <w:rPr>
          <w:rFonts w:ascii="Times New Roman" w:cs="Times New Roman" w:eastAsia="Times New Roman" w:hAnsi="Times New Roman"/>
          <w:sz w:val="20"/>
          <w:szCs w:val="20"/>
        </w:rPr>
        <w:t xml:space="preserve">Two implications generalise. Adversarial evaluation of a retrieval-augmented pipeline requires an explicit manipulation check, without which a null result cannot be distinguished from a failed manipulation; the initial design here would have supported the incorrect conclusion that the detector was insensitive when retrieval had in fact removed the stimulus. Second, composite reliability scores should be published alongside their components rather than in place of them. The aggregate proposed here is unremarkable in form, and both failures identified in Section VI-B would be invisible to a reader given only the summary figure.</w:t>
      </w:r>
    </w:p>
    <w:p>
      <w:pPr>
        <w:spacing w:after="100" w:before="200"/>
        <w:jc w:val="center"/>
      </w:pPr>
      <w:r>
        <w:rPr>
          <w:rFonts w:ascii="Times New Roman" w:cs="Times New Roman" w:eastAsia="Times New Roman" w:hAnsi="Times New Roman"/>
          <w:sz w:val="20"/>
          <w:szCs w:val="20"/>
        </w:rPr>
        <w:t xml:space="preserve">VII. CONCLUSION AND FUTURE WORK</w:t>
      </w:r>
    </w:p>
    <w:p>
      <w:pPr>
        <w:spacing w:after="60" w:line="240"/>
        <w:ind w:firstLine="288"/>
        <w:jc w:val="both"/>
      </w:pPr>
      <w:r>
        <w:rPr>
          <w:rFonts w:ascii="Times New Roman" w:cs="Times New Roman" w:eastAsia="Times New Roman" w:hAnsi="Times New Roman"/>
          <w:sz w:val="20"/>
          <w:szCs w:val="20"/>
        </w:rPr>
        <w:t xml:space="preserve">This work presented a four-component framework for measuring the numerical reliability of a financial retrieval-augmented system and evaluated it across five experiments on FinQA under a consumer-hardware constraint. The most robust finding is that self-reported confidence carries no discriminative information about correctness, differing by 0.024 between correct and incorrect answers while 64% of responses were confidently wrong. Controlled comparison established that retrieval supplies the entire accuracy of the system yet only twelve per cent of remaining error is retrieval-attributable, localising the bottleneck to generator reasoning. The proposed composite failed in two independent ways, and is reported as a limitation rather than as a validated contribution.</w:t>
      </w:r>
    </w:p>
    <w:p>
      <w:pPr>
        <w:spacing w:after="60" w:line="240"/>
        <w:ind w:firstLine="288"/>
        <w:jc w:val="both"/>
      </w:pPr>
      <w:r>
        <w:rPr>
          <w:rFonts w:ascii="Times New Roman" w:cs="Times New Roman" w:eastAsia="Times New Roman" w:hAnsi="Times New Roman"/>
          <w:sz w:val="20"/>
          <w:szCs w:val="20"/>
        </w:rPr>
        <w:t xml:space="preserve">Future work follows directly. A frontier-model comparison through the identical pipeline, for which the backend is implemented, would separate limitations of the approach from limitations of a small quantised generator, and Section V-E indicates this is where the available improvement lies. Probability-derived confidence would make the calibration term informative and permit re-derivation of the weights. The consistency dimension identified in the original research design, assessing stability across varied linguistic expressions of the same numerical intent, remains unimplemented and is the natural next component. Extension to conversational [6] and hybrid table-text [5] settings would test whether the components remain informative when intermediate results become later operands. Finally, multi-seed characterisation is needed to establish a formal noise floor against which effect sizes at this scale can be judged.</w:t>
      </w:r>
    </w:p>
    <w:p>
      <w:pPr>
        <w:spacing w:after="100" w:before="200"/>
        <w:jc w:val="center"/>
      </w:pPr>
      <w:r>
        <w:rPr>
          <w:rFonts w:ascii="Times New Roman" w:cs="Times New Roman" w:eastAsia="Times New Roman" w:hAnsi="Times New Roman"/>
          <w:sz w:val="20"/>
          <w:szCs w:val="20"/>
        </w:rPr>
        <w:t xml:space="preserve">REFERENCES</w:t>
      </w:r>
    </w:p>
    <w:p>
      <w:pPr>
        <w:spacing w:after="40" w:line="220"/>
        <w:ind w:left="360" w:hanging="360"/>
        <w:jc w:val="both"/>
      </w:pPr>
      <w:r>
        <w:rPr>
          <w:rFonts w:ascii="Times New Roman" w:cs="Times New Roman" w:eastAsia="Times New Roman" w:hAnsi="Times New Roman"/>
          <w:sz w:val="18"/>
          <w:szCs w:val="18"/>
        </w:rPr>
        <w:t xml:space="preserve">[1] P. Lewis et al., "Retrieval-augmented generation for knowledge-intensive NLP tasks," in Proc. Adv. Neural Inf. Process. Syst. (NeurIPS), 2020, pp. 9459-9474.</w:t>
      </w:r>
    </w:p>
    <w:p>
      <w:pPr>
        <w:spacing w:after="40" w:line="220"/>
        <w:ind w:left="360" w:hanging="360"/>
        <w:jc w:val="both"/>
      </w:pPr>
      <w:r>
        <w:rPr>
          <w:rFonts w:ascii="Times New Roman" w:cs="Times New Roman" w:eastAsia="Times New Roman" w:hAnsi="Times New Roman"/>
          <w:sz w:val="18"/>
          <w:szCs w:val="18"/>
        </w:rPr>
        <w:t xml:space="preserve">[2] K. Shuster, S. Poff, M. Chen, D. Kiela, and J. Weston, "Retrieval augmentation reduces hallucination in conversation," in Findings of EMNLP, 2021, pp. 3784-3803.</w:t>
      </w:r>
    </w:p>
    <w:p>
      <w:pPr>
        <w:spacing w:after="40" w:line="220"/>
        <w:ind w:left="360" w:hanging="360"/>
        <w:jc w:val="both"/>
      </w:pPr>
      <w:r>
        <w:rPr>
          <w:rFonts w:ascii="Times New Roman" w:cs="Times New Roman" w:eastAsia="Times New Roman" w:hAnsi="Times New Roman"/>
          <w:sz w:val="18"/>
          <w:szCs w:val="18"/>
        </w:rPr>
        <w:t xml:space="preserve">[3] Authors of DCRC, "Fighting numerical hallucinations via data-centric compilation for online financial QA." [Full bibliographic details to be completed from the source copy.]</w:t>
      </w:r>
    </w:p>
    <w:p>
      <w:pPr>
        <w:spacing w:after="40" w:line="220"/>
        <w:ind w:left="360" w:hanging="360"/>
        <w:jc w:val="both"/>
      </w:pPr>
      <w:r>
        <w:rPr>
          <w:rFonts w:ascii="Times New Roman" w:cs="Times New Roman" w:eastAsia="Times New Roman" w:hAnsi="Times New Roman"/>
          <w:sz w:val="18"/>
          <w:szCs w:val="18"/>
        </w:rPr>
        <w:t xml:space="preserve">[4] Z. Chen et al., "FinQA: A dataset of numerical reasoning over financial data," in Proc. EMNLP, 2021, pp. 3697-3711.</w:t>
      </w:r>
    </w:p>
    <w:p>
      <w:pPr>
        <w:spacing w:after="40" w:line="220"/>
        <w:ind w:left="360" w:hanging="360"/>
        <w:jc w:val="both"/>
      </w:pPr>
      <w:r>
        <w:rPr>
          <w:rFonts w:ascii="Times New Roman" w:cs="Times New Roman" w:eastAsia="Times New Roman" w:hAnsi="Times New Roman"/>
          <w:sz w:val="18"/>
          <w:szCs w:val="18"/>
        </w:rPr>
        <w:t xml:space="preserve">[5] F. Zhu, W. Lei, Y. Huang, C. Wang, S. Zhang, J. Lv, F. Feng, and T.-S. Chua, "TAT-QA: A question answering benchmark on a hybrid of tabular and textual content in finance," in Proc. ACL, 2021, pp. 3277-3287.</w:t>
      </w:r>
    </w:p>
    <w:p>
      <w:pPr>
        <w:spacing w:after="40" w:line="220"/>
        <w:ind w:left="360" w:hanging="360"/>
        <w:jc w:val="both"/>
      </w:pPr>
      <w:r>
        <w:rPr>
          <w:rFonts w:ascii="Times New Roman" w:cs="Times New Roman" w:eastAsia="Times New Roman" w:hAnsi="Times New Roman"/>
          <w:sz w:val="18"/>
          <w:szCs w:val="18"/>
        </w:rPr>
        <w:t xml:space="preserve">[6] Z. Chen, S. Li, C. Smiley, Z. Ma, S. Shah, and W. Y. Wang, "ConvFinQA: Exploring the chain of numerical reasoning in conversational finance question answering," in Proc. EMNLP, 2022, pp. 6279-6292.</w:t>
      </w:r>
    </w:p>
    <w:p>
      <w:pPr>
        <w:spacing w:after="40" w:line="220"/>
        <w:ind w:left="360" w:hanging="360"/>
        <w:jc w:val="both"/>
      </w:pPr>
      <w:r>
        <w:rPr>
          <w:rFonts w:ascii="Times New Roman" w:cs="Times New Roman" w:eastAsia="Times New Roman" w:hAnsi="Times New Roman"/>
          <w:sz w:val="18"/>
          <w:szCs w:val="18"/>
        </w:rPr>
        <w:t xml:space="preserve">[7] V. Karpukhin et al., "Dense passage retrieval for open-domain question answering," in Proc. EMNLP, 2020, pp. 6769-6781.</w:t>
      </w:r>
    </w:p>
    <w:p>
      <w:pPr>
        <w:spacing w:after="40" w:line="220"/>
        <w:ind w:left="360" w:hanging="360"/>
        <w:jc w:val="both"/>
      </w:pPr>
      <w:r>
        <w:rPr>
          <w:rFonts w:ascii="Times New Roman" w:cs="Times New Roman" w:eastAsia="Times New Roman" w:hAnsi="Times New Roman"/>
          <w:sz w:val="18"/>
          <w:szCs w:val="18"/>
        </w:rPr>
        <w:t xml:space="preserve">[8] Y. Gao et al., "Retrieval-augmented generation for large language models: A survey," arXiv:2312.10997, 2023.</w:t>
      </w:r>
    </w:p>
    <w:p>
      <w:pPr>
        <w:spacing w:after="40" w:line="220"/>
        <w:ind w:left="360" w:hanging="360"/>
        <w:jc w:val="both"/>
      </w:pPr>
      <w:r>
        <w:rPr>
          <w:rFonts w:ascii="Times New Roman" w:cs="Times New Roman" w:eastAsia="Times New Roman" w:hAnsi="Times New Roman"/>
          <w:sz w:val="18"/>
          <w:szCs w:val="18"/>
        </w:rPr>
        <w:t xml:space="preserve">[9] S. Es, J. James, L. Espinosa-Anke, and S. Schockaert, "RAGAs: Automated evaluation of retrieval augmented generation," in Proc. EACL: System Demonstrations, 2024, pp. 150-158.</w:t>
      </w:r>
    </w:p>
    <w:p>
      <w:pPr>
        <w:spacing w:after="40" w:line="220"/>
        <w:ind w:left="360" w:hanging="360"/>
        <w:jc w:val="both"/>
      </w:pPr>
      <w:r>
        <w:rPr>
          <w:rFonts w:ascii="Times New Roman" w:cs="Times New Roman" w:eastAsia="Times New Roman" w:hAnsi="Times New Roman"/>
          <w:sz w:val="18"/>
          <w:szCs w:val="18"/>
        </w:rPr>
        <w:t xml:space="preserve">[10] Z. Ji et al., "Survey of hallucination in natural language generation," ACM Comput. Surv., vol. 55, no. 12, pp. 1-38, 2023.</w:t>
      </w:r>
    </w:p>
    <w:p>
      <w:pPr>
        <w:spacing w:after="40" w:line="220"/>
        <w:ind w:left="360" w:hanging="360"/>
        <w:jc w:val="both"/>
      </w:pPr>
      <w:r>
        <w:rPr>
          <w:rFonts w:ascii="Times New Roman" w:cs="Times New Roman" w:eastAsia="Times New Roman" w:hAnsi="Times New Roman"/>
          <w:sz w:val="18"/>
          <w:szCs w:val="18"/>
        </w:rPr>
        <w:t xml:space="preserve">[11] P. Manakul, A. Liusie, and M. J. F. Gales, "SelfCheckGPT: Zero-resource black-box hallucination detection for generative large language models," in Proc. EMNLP, 2023, pp. 9004-9017.</w:t>
      </w:r>
    </w:p>
    <w:p>
      <w:pPr>
        <w:spacing w:after="40" w:line="220"/>
        <w:ind w:left="360" w:hanging="360"/>
        <w:jc w:val="both"/>
      </w:pPr>
      <w:r>
        <w:rPr>
          <w:rFonts w:ascii="Times New Roman" w:cs="Times New Roman" w:eastAsia="Times New Roman" w:hAnsi="Times New Roman"/>
          <w:sz w:val="18"/>
          <w:szCs w:val="18"/>
        </w:rPr>
        <w:t xml:space="preserve">[12] K. Cobbe et al., "Training verifiers to solve math word problems," arXiv:2110.14168, 2021.</w:t>
      </w:r>
    </w:p>
    <w:p>
      <w:pPr>
        <w:spacing w:after="40" w:line="220"/>
        <w:ind w:left="360" w:hanging="360"/>
        <w:jc w:val="both"/>
      </w:pPr>
      <w:r>
        <w:rPr>
          <w:rFonts w:ascii="Times New Roman" w:cs="Times New Roman" w:eastAsia="Times New Roman" w:hAnsi="Times New Roman"/>
          <w:sz w:val="18"/>
          <w:szCs w:val="18"/>
        </w:rPr>
        <w:t xml:space="preserve">[13] J. Wei et al., "Chain-of-thought prompting elicits reasoning in large language models," in Proc. NeurIPS, 2022, pp. 24824-24837.</w:t>
      </w:r>
    </w:p>
    <w:p>
      <w:pPr>
        <w:spacing w:after="40" w:line="220"/>
        <w:ind w:left="360" w:hanging="360"/>
        <w:jc w:val="both"/>
      </w:pPr>
      <w:r>
        <w:rPr>
          <w:rFonts w:ascii="Times New Roman" w:cs="Times New Roman" w:eastAsia="Times New Roman" w:hAnsi="Times New Roman"/>
          <w:sz w:val="18"/>
          <w:szCs w:val="18"/>
        </w:rPr>
        <w:t xml:space="preserve">[14] M. P. Naeini, G. F. Cooper, and M. Hauskrecht, "Obtaining well calibrated probabilities using Bayesian binning," in Proc. AAAI, 2015, pp. 2901-2907.</w:t>
      </w:r>
    </w:p>
    <w:p>
      <w:pPr>
        <w:spacing w:after="40" w:line="220"/>
        <w:ind w:left="360" w:hanging="360"/>
        <w:jc w:val="both"/>
      </w:pPr>
      <w:r>
        <w:rPr>
          <w:rFonts w:ascii="Times New Roman" w:cs="Times New Roman" w:eastAsia="Times New Roman" w:hAnsi="Times New Roman"/>
          <w:sz w:val="18"/>
          <w:szCs w:val="18"/>
        </w:rPr>
        <w:t xml:space="preserve">[15] C. Guo, G. Pleiss, Y. Sun, and K. Q. Weinberger, "On calibration of modern neural networks," in Proc. ICML, 2017, pp. 1321-1330.</w:t>
      </w:r>
    </w:p>
    <w:p>
      <w:pPr>
        <w:spacing w:after="40" w:line="220"/>
        <w:ind w:left="360" w:hanging="360"/>
        <w:jc w:val="both"/>
      </w:pPr>
      <w:r>
        <w:rPr>
          <w:rFonts w:ascii="Times New Roman" w:cs="Times New Roman" w:eastAsia="Times New Roman" w:hAnsi="Times New Roman"/>
          <w:sz w:val="18"/>
          <w:szCs w:val="18"/>
        </w:rPr>
        <w:t xml:space="preserve">[16] S. Kadavath et al., "Language models (mostly) know what they know," arXiv:2207.05221, 2022.</w:t>
      </w:r>
    </w:p>
    <w:p>
      <w:pPr>
        <w:spacing w:after="40" w:line="220"/>
        <w:ind w:left="360" w:hanging="360"/>
        <w:jc w:val="both"/>
      </w:pPr>
      <w:r>
        <w:rPr>
          <w:rFonts w:ascii="Times New Roman" w:cs="Times New Roman" w:eastAsia="Times New Roman" w:hAnsi="Times New Roman"/>
          <w:sz w:val="18"/>
          <w:szCs w:val="18"/>
        </w:rPr>
        <w:t xml:space="preserve">[17] N. Reimers and I. Gurevych, "Sentence-BERT: Sentence embeddings using Siamese BERT-networks," in Proc. EMNLP-IJCNLP, 2019, pp. 3982-3992.</w:t>
      </w:r>
    </w:p>
    <w:p>
      <w:pPr>
        <w:spacing w:after="40" w:line="220"/>
        <w:ind w:left="360" w:hanging="360"/>
        <w:jc w:val="both"/>
      </w:pPr>
      <w:r>
        <w:rPr>
          <w:rFonts w:ascii="Times New Roman" w:cs="Times New Roman" w:eastAsia="Times New Roman" w:hAnsi="Times New Roman"/>
          <w:sz w:val="18"/>
          <w:szCs w:val="18"/>
        </w:rPr>
        <w:t xml:space="preserve">[18] J. Johnson, M. Douze, and H. Jegou, "Billion-scale similarity search with GPUs," IEEE Trans. Big Data, vol. 7, no. 3, pp. 535-547, Jul. 2019.</w:t>
      </w:r>
    </w:p>
    <w:p>
      <w:pPr>
        <w:spacing w:after="40" w:line="220"/>
        <w:ind w:left="360" w:hanging="360"/>
        <w:jc w:val="both"/>
      </w:pPr>
      <w:r>
        <w:rPr>
          <w:rFonts w:ascii="Times New Roman" w:cs="Times New Roman" w:eastAsia="Times New Roman" w:hAnsi="Times New Roman"/>
          <w:sz w:val="18"/>
          <w:szCs w:val="18"/>
        </w:rPr>
        <w:t xml:space="preserve">[19] Qwen Team, "Qwen2.5 technical report," arXiv:2412.15115, 2024.</w:t>
      </w:r>
    </w:p>
    <w:p>
      <w:pPr>
        <w:spacing w:after="40" w:line="220"/>
        <w:ind w:left="360" w:hanging="360"/>
        <w:jc w:val="both"/>
      </w:pPr>
      <w:r>
        <w:rPr>
          <w:rFonts w:ascii="Times New Roman" w:cs="Times New Roman" w:eastAsia="Times New Roman" w:hAnsi="Times New Roman"/>
          <w:sz w:val="18"/>
          <w:szCs w:val="18"/>
        </w:rPr>
        <w:t xml:space="preserve">[20] T. Dettmers, A. Pagnoni, A. Holtzman, and L. Zettlemoyer, "QLoRA: Efficient finetuning of quantized LLMs," in Proc. NeurIPS, 2023.</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Prakash Gandi</dc:creator>
  <cp:lastModifiedBy>Aaron Prakash Gandi</cp:lastModifiedBy>
  <cp:revision>1</cp:revision>
  <dcterms:created xsi:type="dcterms:W3CDTF">2026-08-25T08:26:37Z</dcterms:created>
  <dcterms:modified xsi:type="dcterms:W3CDTF">2026-08-25T08:26:37Z</dcterms:modified>
  <dc:title>A Numerical Reliability Framework for Retrieval-Augmented Financial Question Answering</dc:title>
  <dc:subject>MSc Research Project Final Report</dc:subject>
</cp:coreProperties>
</file>

<file path=docProps/custom.xml><?xml version="1.0" encoding="utf-8"?>
<Properties xmlns="http://schemas.openxmlformats.org/officeDocument/2006/custom-properties" xmlns:vt="http://schemas.openxmlformats.org/officeDocument/2006/docPropsVTypes"/>
</file>