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 Numerical Reliability Framework for Retrieval-Augmented Financial Question Answering</w:t>
      </w:r>
    </w:p>
    <w:p>
      <w:pPr>
        <w:spacing w:after="40"/>
        <w:jc w:val="center"/>
      </w:pPr>
      <w:r>
        <w:rPr>
          <w:rFonts w:ascii="Times New Roman" w:cs="Times New Roman" w:eastAsia="Times New Roman" w:hAnsi="Times New Roman"/>
          <w:sz w:val="22"/>
          <w:szCs w:val="22"/>
        </w:rPr>
        <w:t xml:space="preserve">Aaron Prakash Gandi</w:t>
      </w:r>
    </w:p>
    <w:p>
      <w:pPr>
        <w:spacing w:after="40"/>
        <w:jc w:val="center"/>
      </w:pPr>
      <w:r>
        <w:rPr>
          <w:rFonts w:ascii="Times New Roman" w:cs="Times New Roman" w:eastAsia="Times New Roman" w:hAnsi="Times New Roman"/>
          <w:i/>
          <w:iCs/>
          <w:sz w:val="20"/>
          <w:szCs w:val="20"/>
        </w:rPr>
        <w:t xml:space="preserve">School of Computing, University of Ulster</w:t>
      </w:r>
    </w:p>
    <w:p>
      <w:pPr>
        <w:spacing w:after="240"/>
        <w:jc w:val="center"/>
      </w:pPr>
      <w:r>
        <w:rPr>
          <w:rFonts w:ascii="Times New Roman" w:cs="Times New Roman" w:eastAsia="Times New Roman" w:hAnsi="Times New Roman"/>
          <w:i/>
          <w:iCs/>
          <w:sz w:val="20"/>
          <w:szCs w:val="20"/>
        </w:rPr>
        <w:t xml:space="preserve">Supervisor: Dr. Tazar Hussain</w:t>
      </w:r>
    </w:p>
    <w:p>
      <w:pPr>
        <w:sectPr>
          <w:pgSz w:w="12240" w:h="15840" w:orient="portrait"/>
          <w:pgMar w:top="1080" w:right="900" w:bottom="1440" w:left="900" w:header="708" w:footer="708" w:gutter="0"/>
          <w:pgNumType/>
          <w:docGrid w:linePitch="360"/>
        </w:sectPr>
      </w:pPr>
    </w:p>
    <w:p>
      <w:pPr>
        <w:spacing w:after="120" w: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Retrieval-augmented generation (RAG) is increasingly proposed for financial decision support, yet standard evaluation reports only answer accuracy and therefore cannot distinguish a system that is reliably wrong from one that is unreliably right. This paper presents a Numerical Reliability Framework (NRF) decomposing reliability into four measurable components — execution accuracy, a Numerical Evidence Support Score (NESS), rule-based hallucination detection, and calibration of self-reported confidence — aggregated into a proposed Overall Numerical Reliability Score (ONRS). The framework is evaluated on FinQA using a locally hosted 4-bit quantised 3B-parameter generator on consumer hardware. Four experiments profile the baseline, test detector sensitivity to adversarial numerical noise, quantify overconfidence, and assess ONRS response to graded context corruption. Baseline accuracy is 0.340 (n=50). The calibration module records a confidence gap of exactly 0.000 between correct and incorrect answers, with 60% of scored responses confidently wrong. Adversarial testing shows retrieval filters 80% of document-level distractors before generation, while the hallucination detector doubles its flag rate when contamination bypasses retrieval. Critically, ONRS is shown not to track context noise (r=-0.10) for a structural reason: near-constant self-reported confidence renders expected calibration error an approximately deterministic function of accuracy (r=-0.97), double-counting accuracy to an effective weight of 0.50. The paper additionally documents a methodological audit that identified defects invalidating earlier results, and argues that component-level reporting is necessary because the composite obscured a signal (hallucination, r=+0.76) clearly visible in its parts.</w:t>
      </w:r>
    </w:p>
    <w:p>
      <w:pPr>
        <w:spacing w:after="160" w:line="24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retrieval-augmented generation; numerical reasoning; hallucination detection; confidence calibration; financial NLP; FinQA; evaluation methodology</w:t>
      </w:r>
    </w:p>
    <w:p>
      <w:pPr>
        <w:spacing w:after="100" w:before="200"/>
        <w:jc w:val="center"/>
      </w:pPr>
      <w:r>
        <w:rPr>
          <w:rFonts w:ascii="Times New Roman" w:cs="Times New Roman" w:eastAsia="Times New Roman" w:hAnsi="Times New Roman"/>
          <w:sz w:val="20"/>
          <w:szCs w:val="20"/>
        </w:rPr>
        <w:t xml:space="preserve">I. INTRODUCTION</w:t>
      </w:r>
    </w:p>
    <w:p>
      <w:pPr>
        <w:spacing w:after="60" w:line="240"/>
        <w:ind w:firstLine="288"/>
        <w:jc w:val="both"/>
      </w:pPr>
      <w:r>
        <w:rPr>
          <w:rFonts w:ascii="Times New Roman" w:cs="Times New Roman" w:eastAsia="Times New Roman" w:hAnsi="Times New Roman"/>
          <w:sz w:val="20"/>
          <w:szCs w:val="20"/>
        </w:rPr>
        <w:t xml:space="preserve">Large language models are increasingly applied to financial analysis tasks in which numerical errors carry direct economic consequence. Retrieval-augmented generation (RAG) [1] mitigates parametric knowledge gaps by conditioning generation on retrieved source documents, and has been shown to reduce unsupported assertions in dialogue settings [2]. It is therefore an attractive architecture for question answering over financial filings. However, grounding is not the same as correctness, and correctness alone is not the same as trustworthiness.</w:t>
      </w:r>
    </w:p>
    <w:p>
      <w:pPr>
        <w:spacing w:after="60" w:line="240"/>
        <w:ind w:firstLine="288"/>
        <w:jc w:val="both"/>
      </w:pPr>
      <w:r>
        <w:rPr>
          <w:rFonts w:ascii="Times New Roman" w:cs="Times New Roman" w:eastAsia="Times New Roman" w:hAnsi="Times New Roman"/>
          <w:sz w:val="20"/>
          <w:szCs w:val="20"/>
        </w:rPr>
        <w:t xml:space="preserve">Consider two systems that each answer 34% of questions correctly. One signals uniformly high confidence regardless of whether it is right; the other signals confidence that tracks its own reliability. In a decision-support setting the first is materially more dangerous, because a user has no basis on which to decide when to verify its output. Standard benchmark reporting, which quotes a single execution-accuracy figure, cannot distinguish these cases. This is the gap the present work addresses.</w:t>
      </w:r>
    </w:p>
    <w:p>
      <w:pPr>
        <w:spacing w:after="60" w:line="240"/>
        <w:ind w:firstLine="288"/>
        <w:jc w:val="both"/>
      </w:pPr>
      <w:r>
        <w:rPr>
          <w:rFonts w:ascii="Times New Roman" w:cs="Times New Roman" w:eastAsia="Times New Roman" w:hAnsi="Times New Roman"/>
          <w:sz w:val="20"/>
          <w:szCs w:val="20"/>
        </w:rPr>
        <w:t xml:space="preserve">This paper makes four contributions. First, it specifies a Numerical Reliability Framework (NRF) decomposing reliability into accuracy, numerical evidence support, hallucination detection and calibration, with a proposed composite score. Second, it reports a four-experiment evaluation on FinQA [3] under a binding consumer-hardware constraint. Third, it documents a methodology audit in which several defects were identified that had invalidated earlier results, on the argument that the credibility of a reported figure is inseparable from the audit that produced it. Fourth, and most substantively, it presents an empirical critique of the proposed composite metric, showing that it fails to track system degradation for a diagnosable structural reason, and derives specific revisions from that diagnosis.</w:t>
      </w:r>
    </w:p>
    <w:p>
      <w:pPr>
        <w:spacing w:after="100" w:before="200"/>
        <w:jc w:val="center"/>
      </w:pPr>
      <w:r>
        <w:rPr>
          <w:rFonts w:ascii="Times New Roman" w:cs="Times New Roman" w:eastAsia="Times New Roman" w:hAnsi="Times New Roman"/>
          <w:sz w:val="20"/>
          <w:szCs w:val="20"/>
        </w:rPr>
        <w:t xml:space="preserve">II. RELATED WORK</w:t>
      </w:r>
    </w:p>
    <w:p>
      <w:pPr>
        <w:spacing w:after="60" w:before="120"/>
        <w:jc w:val="left"/>
      </w:pPr>
      <w:r>
        <w:rPr>
          <w:rFonts w:ascii="Times New Roman" w:cs="Times New Roman" w:eastAsia="Times New Roman" w:hAnsi="Times New Roman"/>
          <w:i/>
          <w:iCs/>
          <w:sz w:val="20"/>
          <w:szCs w:val="20"/>
        </w:rPr>
        <w:t xml:space="preserve">A. Numerical question answering over financial documents</w:t>
      </w:r>
    </w:p>
    <w:p>
      <w:pPr>
        <w:spacing w:after="60" w:line="240"/>
        <w:ind w:firstLine="288"/>
        <w:jc w:val="both"/>
      </w:pPr>
      <w:r>
        <w:rPr>
          <w:rFonts w:ascii="Times New Roman" w:cs="Times New Roman" w:eastAsia="Times New Roman" w:hAnsi="Times New Roman"/>
          <w:sz w:val="20"/>
          <w:szCs w:val="20"/>
        </w:rPr>
        <w:t xml:space="preserve">FinQA [3] introduced a dataset of numerical reasoning questions over earnings reports, annotated with executable reasoning programs so that answers can be scored by execution rather than string match. The authors report human expert performance of 91.16% execution accuracy against 50.68% for general crowd workers, and 61.24% for their strongest neural model, rising to 70.0% when gold retrieval is supplied. The benchmark remains unsaturated, and the resulting 21-point gap between the best model and human experts motivates continued work.</w:t>
      </w:r>
    </w:p>
    <w:p>
      <w:pPr>
        <w:spacing w:after="60" w:line="240"/>
        <w:ind w:firstLine="288"/>
        <w:jc w:val="both"/>
      </w:pPr>
      <w:r>
        <w:rPr>
          <w:rFonts w:ascii="Times New Roman" w:cs="Times New Roman" w:eastAsia="Times New Roman" w:hAnsi="Times New Roman"/>
          <w:sz w:val="20"/>
          <w:szCs w:val="20"/>
        </w:rPr>
        <w:t xml:space="preserve">Related benchmarks extend the setting along two axes. TAT-QA [4] targets hybrid tabular and textual content in financial annual reports, emphasising that the evidence for a single question is frequently distributed across both modalities. ConvFinQA [5] extends FinQA to multi-turn conversational reasoning, where intermediate results from earlier turns become operands in later ones. Both confirm that the difficulty in this domain lies less in language understanding than in the chained arithmetic that follows it, which is the property the present framework attempts to measure directly.</w:t>
      </w:r>
    </w:p>
    <w:p>
      <w:pPr>
        <w:spacing w:after="60" w:before="120"/>
        <w:jc w:val="left"/>
      </w:pPr>
      <w:r>
        <w:rPr>
          <w:rFonts w:ascii="Times New Roman" w:cs="Times New Roman" w:eastAsia="Times New Roman" w:hAnsi="Times New Roman"/>
          <w:i/>
          <w:iCs/>
          <w:sz w:val="20"/>
          <w:szCs w:val="20"/>
        </w:rPr>
        <w:t xml:space="preserve">B. Retrieval-augmented generation and evidence grounding</w:t>
      </w:r>
    </w:p>
    <w:p>
      <w:pPr>
        <w:spacing w:after="60" w:line="240"/>
        <w:ind w:firstLine="288"/>
        <w:jc w:val="both"/>
      </w:pPr>
      <w:r>
        <w:rPr>
          <w:rFonts w:ascii="Times New Roman" w:cs="Times New Roman" w:eastAsia="Times New Roman" w:hAnsi="Times New Roman"/>
          <w:sz w:val="20"/>
          <w:szCs w:val="20"/>
        </w:rPr>
        <w:t xml:space="preserve">The RAG formulation [1] conditions a generator on documents returned by a learned retriever, and dense passage retrieval [6] established that learned dense representations outperform sparse lexical matching for open-domain question answering. Subsequent work [2] demonstrated that retrieval augmentation measurably reduces hallucination in knowledge-grounded dialogue. A recent survey [7] catalogues the design space and notes that evaluation of RAG systems remains comparatively underdeveloped relative to their architectural sophistication.</w:t>
      </w:r>
    </w:p>
    <w:p>
      <w:pPr>
        <w:spacing w:after="60" w:line="240"/>
        <w:ind w:firstLine="288"/>
        <w:jc w:val="both"/>
      </w:pPr>
      <w:r>
        <w:rPr>
          <w:rFonts w:ascii="Times New Roman" w:cs="Times New Roman" w:eastAsia="Times New Roman" w:hAnsi="Times New Roman"/>
          <w:sz w:val="20"/>
          <w:szCs w:val="20"/>
        </w:rPr>
        <w:t xml:space="preserve">Evaluation frameworks specific to RAG have begun to appear. RAGAS [8] proposes reference-free metrics for faithfulness, answer relevance and context relevance, evaluated by prompting a judge model. The present work differs in two respects relevant to the financial setting: its evidence-support measure is computed arithmetically rather than by a judge model, making it deterministic and inspectable; and it targets numeric grounding specifically rather than general semantic faithfulness, on the view that in this domain a wrong number is the failure that matters.</w:t>
      </w:r>
    </w:p>
    <w:p>
      <w:pPr>
        <w:spacing w:after="60" w:before="120"/>
        <w:jc w:val="left"/>
      </w:pPr>
      <w:r>
        <w:rPr>
          <w:rFonts w:ascii="Times New Roman" w:cs="Times New Roman" w:eastAsia="Times New Roman" w:hAnsi="Times New Roman"/>
          <w:i/>
          <w:iCs/>
          <w:sz w:val="20"/>
          <w:szCs w:val="20"/>
        </w:rPr>
        <w:t xml:space="preserve">C. Hallucination detection</w:t>
      </w:r>
    </w:p>
    <w:p>
      <w:pPr>
        <w:spacing w:after="60" w:line="240"/>
        <w:ind w:firstLine="288"/>
        <w:jc w:val="both"/>
      </w:pPr>
      <w:r>
        <w:rPr>
          <w:rFonts w:ascii="Times New Roman" w:cs="Times New Roman" w:eastAsia="Times New Roman" w:hAnsi="Times New Roman"/>
          <w:sz w:val="20"/>
          <w:szCs w:val="20"/>
        </w:rPr>
        <w:t xml:space="preserve">A comprehensive survey of hallucination in natural language generation [9] distinguishes intrinsic hallucination, where output contradicts the source, from extrinsic hallucination, where output introduces content the source cannot verify. Numeric hallucination in financial QA is predominantly of the second kind: a figure appears that is traceable to no line of the filing. SelfCheckGPT [10] detects hallucination without external resources by sampling multiple generations and measuring consistency between them, which is effective but requires repeated inference. The detector used here is deliberately simpler — a threshold on numeric evidence overlap — and is characterised as a rule-based baseline rather than a competitive method, since the object of study is whether the framework can surface unreliability at all, not whether it does so optimally.</w:t>
      </w:r>
    </w:p>
    <w:p>
      <w:pPr>
        <w:spacing w:after="60" w:line="240"/>
        <w:ind w:firstLine="288"/>
        <w:jc w:val="both"/>
      </w:pPr>
      <w:r>
        <w:rPr>
          <w:rFonts w:ascii="Times New Roman" w:cs="Times New Roman" w:eastAsia="Times New Roman" w:hAnsi="Times New Roman"/>
          <w:sz w:val="20"/>
          <w:szCs w:val="20"/>
        </w:rPr>
        <w:t xml:space="preserve">A complementary line of work verifies model reasoning by re-execution rather than by consistency. Cobbe et al. [11] train verifiers to check solutions to mathematical word problems, and chain-of-thought prompting [12] makes intermediate reasoning explicit and therefore checkable. The gold-free post-hoc verifier described in Section III-E follows this second tradition: it re-executes the model’s own stated arithmetic in a restricted interpreter and compares the result against the model’s own stated answer, without reference to any gold label.</w:t>
      </w:r>
    </w:p>
    <w:p>
      <w:pPr>
        <w:spacing w:after="60" w:before="120"/>
        <w:jc w:val="left"/>
      </w:pPr>
      <w:r>
        <w:rPr>
          <w:rFonts w:ascii="Times New Roman" w:cs="Times New Roman" w:eastAsia="Times New Roman" w:hAnsi="Times New Roman"/>
          <w:i/>
          <w:iCs/>
          <w:sz w:val="20"/>
          <w:szCs w:val="20"/>
        </w:rPr>
        <w:t xml:space="preserve">D. Confidence calibration</w:t>
      </w:r>
    </w:p>
    <w:p>
      <w:pPr>
        <w:spacing w:after="60" w:line="240"/>
        <w:ind w:firstLine="288"/>
        <w:jc w:val="both"/>
      </w:pPr>
      <w:r>
        <w:rPr>
          <w:rFonts w:ascii="Times New Roman" w:cs="Times New Roman" w:eastAsia="Times New Roman" w:hAnsi="Times New Roman"/>
          <w:sz w:val="20"/>
          <w:szCs w:val="20"/>
        </w:rPr>
        <w:t xml:space="preserve">Expected calibration error, formalised through binned reliability estimation [13], became the standard summary measure following the demonstration by Guo et al. [14] that modern neural networks are systematically overconfident relative to their accuracy. That literature concerns probabilities derived from model logits. Kadavath et al. [15] investigate a distinct and more recent question, whether large language models can be prompted to express calibrated self-assessments in natural language, with mixed results across task families.</w:t>
      </w:r>
    </w:p>
    <w:p>
      <w:pPr>
        <w:spacing w:after="60" w:line="240"/>
        <w:ind w:firstLine="288"/>
        <w:jc w:val="both"/>
      </w:pPr>
      <w:r>
        <w:rPr>
          <w:rFonts w:ascii="Times New Roman" w:cs="Times New Roman" w:eastAsia="Times New Roman" w:hAnsi="Times New Roman"/>
          <w:sz w:val="20"/>
          <w:szCs w:val="20"/>
        </w:rPr>
        <w:t xml:space="preserve">The present work measures precisely this second quantity — confidence the model is instructed to state in text — and reports it throughout as "self-reported confidence" to prevent conflation with logit-derived probability. Section VI-B shows that this distinction is not merely terminological: because the observed self-reported confidence is near-constant, it induces a degeneracy in the composite metric that logit-derived confidence would not.</w:t>
      </w:r>
    </w:p>
    <w:p>
      <w:pPr>
        <w:spacing w:after="60" w:before="120"/>
        <w:jc w:val="left"/>
      </w:pPr>
      <w:r>
        <w:rPr>
          <w:rFonts w:ascii="Times New Roman" w:cs="Times New Roman" w:eastAsia="Times New Roman" w:hAnsi="Times New Roman"/>
          <w:i/>
          <w:iCs/>
          <w:sz w:val="20"/>
          <w:szCs w:val="20"/>
        </w:rPr>
        <w:t xml:space="preserve">E. Positioning</w:t>
      </w:r>
    </w:p>
    <w:p>
      <w:pPr>
        <w:spacing w:after="60" w:line="240"/>
        <w:ind w:firstLine="288"/>
        <w:jc w:val="both"/>
      </w:pPr>
      <w:r>
        <w:rPr>
          <w:rFonts w:ascii="Times New Roman" w:cs="Times New Roman" w:eastAsia="Times New Roman" w:hAnsi="Times New Roman"/>
          <w:sz w:val="20"/>
          <w:szCs w:val="20"/>
        </w:rPr>
        <w:t xml:space="preserve">Against this background the contribution here is not a new retrieval or generation method. It is an evaluation framework that reports four components separately rather than collapsing reliability to accuracy, together with an empirical demonstration — using the framework on itself — that a naively weighted composite of those components can obscure the very signal its components detect.</w:t>
      </w:r>
    </w:p>
    <w:p>
      <w:pPr>
        <w:spacing w:after="100" w:before="200"/>
        <w:jc w:val="center"/>
      </w:pPr>
      <w:r>
        <w:rPr>
          <w:rFonts w:ascii="Times New Roman" w:cs="Times New Roman" w:eastAsia="Times New Roman" w:hAnsi="Times New Roman"/>
          <w:sz w:val="20"/>
          <w:szCs w:val="20"/>
        </w:rPr>
        <w:t xml:space="preserve">III. SYSTEM AND EXPERIMENTAL SETUP</w:t>
      </w:r>
    </w:p>
    <w:p>
      <w:pPr>
        <w:spacing w:after="60" w:before="120"/>
        <w:jc w:val="left"/>
      </w:pPr>
      <w:r>
        <w:rPr>
          <w:rFonts w:ascii="Times New Roman" w:cs="Times New Roman" w:eastAsia="Times New Roman" w:hAnsi="Times New Roman"/>
          <w:i/>
          <w:iCs/>
          <w:sz w:val="20"/>
          <w:szCs w:val="20"/>
        </w:rPr>
        <w:t xml:space="preserve">A. Pipeline architecture</w:t>
      </w:r>
    </w:p>
    <w:p>
      <w:pPr>
        <w:spacing w:after="60" w:line="240"/>
        <w:ind w:firstLine="288"/>
        <w:jc w:val="both"/>
      </w:pPr>
      <w:r>
        <w:rPr>
          <w:rFonts w:ascii="Times New Roman" w:cs="Times New Roman" w:eastAsia="Times New Roman" w:hAnsi="Times New Roman"/>
          <w:sz w:val="20"/>
          <w:szCs w:val="20"/>
        </w:rPr>
        <w:t xml:space="preserve">Each FinQA item is chunked, indexed, retrieved against and answered independently. Pre-text and post-text fields are supplied by the dataset as lists of sentences already segmented by its authors; each element becomes one chunk rather than being re-split heuristically, which would risk fragmenting numeric expressions such as "$5,829 million" across chunk boundaries. Each table row becomes one chunk, rendered as a labelled key-value string so that a retrieved row remains interpretable in isolation without the surrounding table.</w:t>
      </w:r>
    </w:p>
    <w:p>
      <w:pPr>
        <w:spacing w:after="60" w:line="240"/>
        <w:ind w:firstLine="288"/>
        <w:jc w:val="both"/>
      </w:pPr>
      <w:r>
        <w:rPr>
          <w:rFonts w:ascii="Times New Roman" w:cs="Times New Roman" w:eastAsia="Times New Roman" w:hAnsi="Times New Roman"/>
          <w:sz w:val="20"/>
          <w:szCs w:val="20"/>
        </w:rPr>
        <w:t xml:space="preserve">Embeddings use a Sentence-BERT bi-encoder [16] producing 384-dimensional representations. Retrieval is exact cosine similarity implemented via inner-product search over L2-normalised vectors [17], with a NumPy fallback producing identical results. Because the indexed corpus for any question is a single document of tens of chunks, exact search is inexpensive and fully reproducible; approximate indexes would introduce non-determinism for no measurable benefit at this scale. The top k=8 chunks form the evidence block.</w:t>
      </w:r>
    </w:p>
    <w:p>
      <w:pPr>
        <w:spacing w:after="60" w:before="120"/>
        <w:jc w:val="left"/>
      </w:pPr>
      <w:r>
        <w:rPr>
          <w:rFonts w:ascii="Times New Roman" w:cs="Times New Roman" w:eastAsia="Times New Roman" w:hAnsi="Times New Roman"/>
          <w:i/>
          <w:iCs/>
          <w:sz w:val="20"/>
          <w:szCs w:val="20"/>
        </w:rPr>
        <w:t xml:space="preserve">B. Generation</w:t>
      </w:r>
    </w:p>
    <w:p>
      <w:pPr>
        <w:spacing w:after="60" w:line="240"/>
        <w:ind w:firstLine="288"/>
        <w:jc w:val="both"/>
      </w:pPr>
      <w:r>
        <w:rPr>
          <w:rFonts w:ascii="Times New Roman" w:cs="Times New Roman" w:eastAsia="Times New Roman" w:hAnsi="Times New Roman"/>
          <w:sz w:val="20"/>
          <w:szCs w:val="20"/>
        </w:rPr>
        <w:t xml:space="preserve">Generation uses greedy decoding with a fixed seed, a system prompt, and two few-shot worked examples supplied as prior conversation turns. Each few-shot example targets a specific error class observed in earlier runs — denominator selection on ratio-of-total questions, and value-to-period attribution where evidence lists two figures "respectively" — rather than offering a generic instruction. Responses are constrained to a Reasoning / Final Answer / Confidence structure, following the chain-of-thought convention [12] that intermediate reasoning be made explicit.</w:t>
      </w:r>
    </w:p>
    <w:p>
      <w:pPr>
        <w:spacing w:after="60" w:before="120"/>
        <w:jc w:val="left"/>
      </w:pPr>
      <w:r>
        <w:rPr>
          <w:rFonts w:ascii="Times New Roman" w:cs="Times New Roman" w:eastAsia="Times New Roman" w:hAnsi="Times New Roman"/>
          <w:i/>
          <w:iCs/>
          <w:sz w:val="20"/>
          <w:szCs w:val="20"/>
        </w:rPr>
        <w:t xml:space="preserve">C. Hardware constraint</w:t>
      </w:r>
    </w:p>
    <w:p>
      <w:pPr>
        <w:spacing w:after="60" w:line="240"/>
        <w:ind w:firstLine="288"/>
        <w:jc w:val="both"/>
      </w:pPr>
      <w:r>
        <w:rPr>
          <w:rFonts w:ascii="Times New Roman" w:cs="Times New Roman" w:eastAsia="Times New Roman" w:hAnsi="Times New Roman"/>
          <w:sz w:val="20"/>
          <w:szCs w:val="20"/>
        </w:rPr>
        <w:t xml:space="preserve">All experiments ran on a consumer laptop with an NVIDIA RTX 3050 (4 GB VRAM) and no API budget. This binds model selection materially. A 3.8B fp16 model was evaluated first and proved impractically slow, consistent with VRAM exhaustion and paging to host memory. A 3B instruction-tuned model [18] under 4-bit NF4 quantisation [19] occupies approximately 2 GB and fits alongside the embedding model and key-value cache. Models of 7B parameters require roughly 4.3 to 4.7 GB even at 4-bit and do not fit. Frontier models are available only through paid APIs. The reported results therefore characterise this configuration specifically, a point returned to in Section VI-A.</w:t>
      </w:r>
    </w:p>
    <w:p>
      <w:pPr>
        <w:spacing w:after="60" w:before="120"/>
        <w:jc w:val="left"/>
      </w:pPr>
      <w:r>
        <w:rPr>
          <w:rFonts w:ascii="Times New Roman" w:cs="Times New Roman" w:eastAsia="Times New Roman" w:hAnsi="Times New Roman"/>
          <w:i/>
          <w:iCs/>
          <w:sz w:val="20"/>
          <w:szCs w:val="20"/>
        </w:rPr>
        <w:t xml:space="preserve">D. Dataset, splits and gold answers</w:t>
      </w:r>
    </w:p>
    <w:p>
      <w:pPr>
        <w:spacing w:after="60" w:line="240"/>
        <w:ind w:firstLine="288"/>
        <w:jc w:val="both"/>
      </w:pPr>
      <w:r>
        <w:rPr>
          <w:rFonts w:ascii="Times New Roman" w:cs="Times New Roman" w:eastAsia="Times New Roman" w:hAnsi="Times New Roman"/>
          <w:sz w:val="20"/>
          <w:szCs w:val="20"/>
        </w:rPr>
        <w:t xml:space="preserve">All reported experiments use the FinQA development split; the test split was deliberately reserved and never used during development, so that a final evaluation can be produced on data never tuned against. Sample selection is deterministic and not curated.</w:t>
      </w:r>
    </w:p>
    <w:p>
      <w:pPr>
        <w:spacing w:after="60" w:line="240"/>
        <w:ind w:firstLine="288"/>
        <w:jc w:val="both"/>
      </w:pPr>
      <w:r>
        <w:rPr>
          <w:rFonts w:ascii="Times New Roman" w:cs="Times New Roman" w:eastAsia="Times New Roman" w:hAnsi="Times New Roman"/>
          <w:sz w:val="20"/>
          <w:szCs w:val="20"/>
        </w:rPr>
        <w:t xml:space="preserve">Scoring uses the dataset’s precise executed answer rather than its rounded human-readable display string, following the execution-accuracy methodology of the benchmark itself [3]. Items whose gold answer is non-numeric are excluded from accuracy and reported separately rather than being silently scored either way. A prediction is correct within a tolerance of the greater of 0.01 and 2% of the gold magnitude. Where exactly one of prediction and gold carries a percentage unit, the pair is treated as a mismatch even if magnitudes agree; this is a deliberate conservative policy and is reported as such rather than left implicit.</w:t>
      </w:r>
    </w:p>
    <w:p>
      <w:pPr>
        <w:spacing w:after="60" w:before="120"/>
        <w:jc w:val="left"/>
      </w:pPr>
      <w:r>
        <w:rPr>
          <w:rFonts w:ascii="Times New Roman" w:cs="Times New Roman" w:eastAsia="Times New Roman" w:hAnsi="Times New Roman"/>
          <w:i/>
          <w:iCs/>
          <w:sz w:val="20"/>
          <w:szCs w:val="20"/>
        </w:rPr>
        <w:t xml:space="preserve">E. Gold-free post-hoc verifier</w:t>
      </w:r>
    </w:p>
    <w:p>
      <w:pPr>
        <w:spacing w:after="60" w:line="240"/>
        <w:ind w:firstLine="288"/>
        <w:jc w:val="both"/>
      </w:pPr>
      <w:r>
        <w:rPr>
          <w:rFonts w:ascii="Times New Roman" w:cs="Times New Roman" w:eastAsia="Times New Roman" w:hAnsi="Times New Roman"/>
          <w:sz w:val="20"/>
          <w:szCs w:val="20"/>
        </w:rPr>
        <w:t xml:space="preserve">A verifier operates on each response without access to the gold answer or gold program. It extracts the model’s final arithmetic expression, re-executes it using a restricted abstract-syntax-tree evaluator admitting only constants and binary and unary operations, and checks that each stated operand is grounded in the retrieved evidence, exempting a closed set of unit-conversion constants. It then compares the recomputation against the stated Final Answer.</w:t>
      </w:r>
    </w:p>
    <w:p>
      <w:pPr>
        <w:spacing w:after="60" w:line="240"/>
        <w:ind w:firstLine="288"/>
        <w:jc w:val="both"/>
      </w:pPr>
      <w:r>
        <w:rPr>
          <w:rFonts w:ascii="Times New Roman" w:cs="Times New Roman" w:eastAsia="Times New Roman" w:hAnsi="Times New Roman"/>
          <w:sz w:val="20"/>
          <w:szCs w:val="20"/>
        </w:rPr>
        <w:t xml:space="preserve">On failure, one corrective regeneration is attempted with the failure reason returned to the model. Because verification never consults a reference answer, this constitutes a self-consistency step in the sense of [11] rather than a mechanism for steering the model toward a known target. The retry is bounded at one to cap inference cost; where the retry also fails, its response is returned and flagged rather than discarded.</w:t>
      </w:r>
    </w:p>
    <w:p>
      <w:pPr>
        <w:spacing w:after="60" w:before="120"/>
        <w:jc w:val="left"/>
      </w:pPr>
      <w:r>
        <w:rPr>
          <w:rFonts w:ascii="Times New Roman" w:cs="Times New Roman" w:eastAsia="Times New Roman" w:hAnsi="Times New Roman"/>
          <w:i/>
          <w:iCs/>
          <w:sz w:val="20"/>
          <w:szCs w:val="20"/>
        </w:rPr>
        <w:t xml:space="preserve">F. Metric definitions</w:t>
      </w:r>
    </w:p>
    <w:p>
      <w:pPr>
        <w:spacing w:after="60" w:line="240"/>
        <w:ind w:firstLine="288"/>
        <w:jc w:val="both"/>
      </w:pPr>
      <w:r>
        <w:rPr>
          <w:rFonts w:ascii="Times New Roman" w:cs="Times New Roman" w:eastAsia="Times New Roman" w:hAnsi="Times New Roman"/>
          <w:sz w:val="20"/>
          <w:szCs w:val="20"/>
        </w:rPr>
        <w:t xml:space="preserve">Let R denote the multiset of numeric tokens in a response and E the multiset in the retrieved evidence. NESS is the proportion of R supported by E under a tolerance-aware match. It is a numeric-overlap measure, not semantic entailment, and this limitation is revisited in Section VI-C. Hallucination is flagged when NESS falls below 0.5, a rule-based baseline rather than a trained classifier [9], [10].</w:t>
      </w:r>
    </w:p>
    <w:p>
      <w:pPr>
        <w:spacing w:after="60" w:line="240"/>
        <w:ind w:firstLine="288"/>
        <w:jc w:val="both"/>
      </w:pPr>
      <w:r>
        <w:rPr>
          <w:rFonts w:ascii="Times New Roman" w:cs="Times New Roman" w:eastAsia="Times New Roman" w:hAnsi="Times New Roman"/>
          <w:sz w:val="20"/>
          <w:szCs w:val="20"/>
        </w:rPr>
        <w:t xml:space="preserve">Calibration is measured as binned expected calibration error over ten equal-width bins [13], [14], computed on self-reported confidence. Missing confidence values are excluded and counted rather than imputed, since imputing a neutral value biases the estimate toward apparent good calibration and would mask the behaviour under study.</w:t>
      </w:r>
    </w:p>
    <w:p>
      <w:pPr>
        <w:spacing w:after="60" w:line="240"/>
        <w:ind w:firstLine="288"/>
        <w:jc w:val="both"/>
      </w:pPr>
      <w:r>
        <w:rPr>
          <w:rFonts w:ascii="Times New Roman" w:cs="Times New Roman" w:eastAsia="Times New Roman" w:hAnsi="Times New Roman"/>
          <w:sz w:val="20"/>
          <w:szCs w:val="20"/>
        </w:rPr>
        <w:t xml:space="preserve">ONRS aggregates the components as 0.30 times accuracy, plus 0.30 times evidence support, plus 0.20 times one minus the hallucination rate, plus 0.20 times one minus ECE. All four inputs are validated to lie in the unit interval rather than silently clamped, so that an upstream defect surfaces immediately. ONRS is proposed by this work and is not established in the literature; its weights are design choices, and Section VI-B argues on empirical grounds that they require revision.</w:t>
      </w:r>
    </w:p>
    <w:p>
      <w:pPr>
        <w:spacing w:after="100" w:before="200"/>
        <w:jc w:val="center"/>
      </w:pPr>
      <w:r>
        <w:rPr>
          <w:rFonts w:ascii="Times New Roman" w:cs="Times New Roman" w:eastAsia="Times New Roman" w:hAnsi="Times New Roman"/>
          <w:sz w:val="20"/>
          <w:szCs w:val="20"/>
        </w:rPr>
        <w:t xml:space="preserve">IV. METHODOLOGY AUDIT</w:t>
      </w:r>
    </w:p>
    <w:p>
      <w:pPr>
        <w:spacing w:after="60" w:line="240"/>
        <w:ind w:firstLine="288"/>
        <w:jc w:val="both"/>
      </w:pPr>
      <w:r>
        <w:rPr>
          <w:rFonts w:ascii="Times New Roman" w:cs="Times New Roman" w:eastAsia="Times New Roman" w:hAnsi="Times New Roman"/>
          <w:sz w:val="20"/>
          <w:szCs w:val="20"/>
        </w:rPr>
        <w:t xml:space="preserve">Several defects were identified in the initial implementation that had produced invalid results. They are reported because the trustworthiness of the final figures depends on the audit that produced them.</w:t>
      </w:r>
    </w:p>
    <w:p>
      <w:pPr>
        <w:spacing w:after="60" w:before="120"/>
        <w:jc w:val="left"/>
      </w:pPr>
      <w:r>
        <w:rPr>
          <w:rFonts w:ascii="Times New Roman" w:cs="Times New Roman" w:eastAsia="Times New Roman" w:hAnsi="Times New Roman"/>
          <w:i/>
          <w:iCs/>
          <w:sz w:val="20"/>
          <w:szCs w:val="20"/>
        </w:rPr>
        <w:t xml:space="preserve">A. Fabricated evidence-support constant</w:t>
      </w:r>
    </w:p>
    <w:p>
      <w:pPr>
        <w:spacing w:after="60" w:line="240"/>
        <w:ind w:firstLine="288"/>
        <w:jc w:val="both"/>
      </w:pPr>
      <w:r>
        <w:rPr>
          <w:rFonts w:ascii="Times New Roman" w:cs="Times New Roman" w:eastAsia="Times New Roman" w:hAnsi="Times New Roman"/>
          <w:sz w:val="20"/>
          <w:szCs w:val="20"/>
        </w:rPr>
        <w:t xml:space="preserve">Two experiment scripts computed evidence support by reading a dictionary key the pipeline never populated, falling back to a hardcoded default of 0.8. The metric therefore returned exactly 0.8 for every example in every condition regardless of model behaviour. Any previously reported evidence-support figure of exactly 0.8000 was a default rather than a measurement, and 30% of the composite weight was consequently pinned to a constant — which alone would prevent the composite from responding to any manipulation.</w:t>
      </w:r>
    </w:p>
    <w:p>
      <w:pPr>
        <w:spacing w:after="60" w:before="120"/>
        <w:jc w:val="left"/>
      </w:pPr>
      <w:r>
        <w:rPr>
          <w:rFonts w:ascii="Times New Roman" w:cs="Times New Roman" w:eastAsia="Times New Roman" w:hAnsi="Times New Roman"/>
          <w:i/>
          <w:iCs/>
          <w:sz w:val="20"/>
          <w:szCs w:val="20"/>
        </w:rPr>
        <w:t xml:space="preserve">B. Gold-answer scaling defects</w:t>
      </w:r>
    </w:p>
    <w:p>
      <w:pPr>
        <w:spacing w:after="60" w:line="240"/>
        <w:ind w:firstLine="288"/>
        <w:jc w:val="both"/>
      </w:pPr>
      <w:r>
        <w:rPr>
          <w:rFonts w:ascii="Times New Roman" w:cs="Times New Roman" w:eastAsia="Times New Roman" w:hAnsi="Times New Roman"/>
          <w:sz w:val="20"/>
          <w:szCs w:val="20"/>
        </w:rPr>
        <w:t xml:space="preserve">The benchmark is inconsistent about whether its executed answer is a raw ratio or already percentage-scaled. Two distinct defects arose. In the first, the annotated reasoning program itself contained an explicit multiplication by one hundred, so the scorer’s additional scaling produced a gold value two orders of magnitude too large and marked a correct model answer as wrong. In the second, both operands of a subtraction were already percentages, so no multiplication step appeared in the program and a remedy based on pattern-matching program syntax still mis-scaled the case.</w:t>
      </w:r>
    </w:p>
    <w:p>
      <w:pPr>
        <w:spacing w:after="60" w:line="240"/>
        <w:ind w:firstLine="288"/>
        <w:jc w:val="both"/>
      </w:pPr>
      <w:r>
        <w:rPr>
          <w:rFonts w:ascii="Times New Roman" w:cs="Times New Roman" w:eastAsia="Times New Roman" w:hAnsi="Times New Roman"/>
          <w:sz w:val="20"/>
          <w:szCs w:val="20"/>
        </w:rPr>
        <w:t xml:space="preserve">The final resolution compares the executed answer against the numeric magnitude of the dataset’s own human-written display string and selects whichever of the raw or scaled value lies closer, on the reasoning that a human annotation is a more reliable signal than program syntax. Regression tests covering all observed cases accompany the implementation.</w:t>
      </w:r>
    </w:p>
    <w:p>
      <w:pPr>
        <w:spacing w:after="60" w:before="120"/>
        <w:jc w:val="left"/>
      </w:pPr>
      <w:r>
        <w:rPr>
          <w:rFonts w:ascii="Times New Roman" w:cs="Times New Roman" w:eastAsia="Times New Roman" w:hAnsi="Times New Roman"/>
          <w:i/>
          <w:iCs/>
          <w:sz w:val="20"/>
          <w:szCs w:val="20"/>
        </w:rPr>
        <w:t xml:space="preserve">C. Chunking defect invalidating two experiments</w:t>
      </w:r>
    </w:p>
    <w:p>
      <w:pPr>
        <w:spacing w:after="60" w:line="240"/>
        <w:ind w:firstLine="288"/>
        <w:jc w:val="both"/>
      </w:pPr>
      <w:r>
        <w:rPr>
          <w:rFonts w:ascii="Times New Roman" w:cs="Times New Roman" w:eastAsia="Times New Roman" w:hAnsi="Times New Roman"/>
          <w:sz w:val="20"/>
          <w:szCs w:val="20"/>
        </w:rPr>
        <w:t xml:space="preserve">The adversarial and noise experiments assigned a string to the pre-text field, which the chunker iterates expecting a list of sentences. Iterating a Python string yields individual characters, so every document was fragmented into single-character retrieval chunks; this was confirmed directly, with a 57-character string producing 57 one-character chunks. Because the noise function returned a string even at zero noise, the baseline condition was corrupted as well, which explains an anomalous 6% accuracy at 0% noise against 34% from the identical pipeline elsewhere. All prior results from these two experiments were therefore invalid and were discarded rather than reported.</w:t>
      </w:r>
    </w:p>
    <w:p>
      <w:pPr>
        <w:spacing w:after="60" w:before="120"/>
        <w:jc w:val="left"/>
      </w:pPr>
      <w:r>
        <w:rPr>
          <w:rFonts w:ascii="Times New Roman" w:cs="Times New Roman" w:eastAsia="Times New Roman" w:hAnsi="Times New Roman"/>
          <w:i/>
          <w:iCs/>
          <w:sz w:val="20"/>
          <w:szCs w:val="20"/>
        </w:rPr>
        <w:t xml:space="preserve">D. Structural revision to NESS</w:t>
      </w:r>
    </w:p>
    <w:p>
      <w:pPr>
        <w:spacing w:after="60" w:line="240"/>
        <w:ind w:firstLine="288"/>
        <w:jc w:val="both"/>
      </w:pPr>
      <w:r>
        <w:rPr>
          <w:rFonts w:ascii="Times New Roman" w:cs="Times New Roman" w:eastAsia="Times New Roman" w:hAnsi="Times New Roman"/>
          <w:sz w:val="20"/>
          <w:szCs w:val="20"/>
        </w:rPr>
        <w:t xml:space="preserve">NESS as originally defined credits a response number only if it appears literally in the evidence. The answer to an arithmetic question is a computed value that by construction does not appear in the source text. Measured on the baseline run, zero of the fifteen fully correct answers achieved a strict NESS of 1.0, with a mean of 0.686. The metric therefore penalises the system for performing the arithmetic the task requires, and bounds the composite below 1.0 by construction.</w:t>
      </w:r>
    </w:p>
    <w:p>
      <w:pPr>
        <w:spacing w:after="60" w:line="240"/>
        <w:ind w:firstLine="288"/>
        <w:jc w:val="both"/>
      </w:pPr>
      <w:r>
        <w:rPr>
          <w:rFonts w:ascii="Times New Roman" w:cs="Times New Roman" w:eastAsia="Times New Roman" w:hAnsi="Times New Roman"/>
          <w:sz w:val="20"/>
          <w:szCs w:val="20"/>
        </w:rPr>
        <w:t xml:space="preserve">A revised definition additionally credits values reachable from the evidence numbers the response itself cited by one elementary arithmetic step, matched at the precision the value was written. Validation against gaming is essential here and is reported: an initial implementation seeding the search with all evidence numbers exhibited an 86.5% false-positive rate on invented values under adversarial testing, meaning it would have credited almost any hallucinated figure. Restricting the seed set to cited numbers plus unit constants, and adopting stated-precision tolerance, reduced this to 0.2% over 400 adversarial trials. Both definitions are computed and reported on every run; the revised score is described throughout as a defined metric revision, never as a correction of the original.</w:t>
      </w:r>
    </w:p>
    <w:p>
      <w:pPr>
        <w:spacing w:after="60" w:before="120"/>
        <w:jc w:val="left"/>
      </w:pPr>
      <w:r>
        <w:rPr>
          <w:rFonts w:ascii="Times New Roman" w:cs="Times New Roman" w:eastAsia="Times New Roman" w:hAnsi="Times New Roman"/>
          <w:i/>
          <w:iCs/>
          <w:sz w:val="20"/>
          <w:szCs w:val="20"/>
        </w:rPr>
        <w:t xml:space="preserve">E. Retrieval modifications tested and reverted</w:t>
      </w:r>
    </w:p>
    <w:p>
      <w:pPr>
        <w:spacing w:after="60" w:line="240"/>
        <w:ind w:firstLine="288"/>
        <w:jc w:val="both"/>
      </w:pPr>
      <w:r>
        <w:rPr>
          <w:rFonts w:ascii="Times New Roman" w:cs="Times New Roman" w:eastAsia="Times New Roman" w:hAnsi="Times New Roman"/>
          <w:sz w:val="20"/>
          <w:szCs w:val="20"/>
        </w:rPr>
        <w:t xml:space="preserve">Two modifications intended to improve retrieval recall were implemented, evaluated and withdrawn when verification showed they did not achieve their stated aim. They are reported because the reason for their failure is informative, and because reporting only surviving changes would misrepresent how the final configuration was reached.</w:t>
      </w:r>
    </w:p>
    <w:p>
      <w:pPr>
        <w:spacing w:after="60" w:line="240"/>
        <w:ind w:firstLine="288"/>
        <w:jc w:val="both"/>
      </w:pPr>
      <w:r>
        <w:rPr>
          <w:rFonts w:ascii="Times New Roman" w:cs="Times New Roman" w:eastAsia="Times New Roman" w:hAnsi="Times New Roman"/>
          <w:sz w:val="20"/>
          <w:szCs w:val="20"/>
        </w:rPr>
        <w:t xml:space="preserve">The first raised the number of retrieved chunks from eight to twelve, targeting an item whose required table row was never retrieved. Direct measurement of embedding ranks showed the target row still fell outside the top twelve of only twenty-five chunks in that document, out-ranked by eighteen near-duplicate prose sentences discussing the same topic in less precise terms. The modification did not fix the case it was designed for; what it did do was alter the evidence block for every question, with eight answers changing from incorrect to correct and six in the opposite direction, a net gain of two in fifty that reflects perturbation rather than improvement.</w:t>
      </w:r>
    </w:p>
    <w:p>
      <w:pPr>
        <w:spacing w:after="60" w:line="240"/>
        <w:ind w:firstLine="288"/>
        <w:jc w:val="both"/>
      </w:pPr>
      <w:r>
        <w:rPr>
          <w:rFonts w:ascii="Times New Roman" w:cs="Times New Roman" w:eastAsia="Times New Roman" w:hAnsi="Times New Roman"/>
          <w:sz w:val="20"/>
          <w:szCs w:val="20"/>
        </w:rPr>
        <w:t xml:space="preserve">The second guaranteed inclusion of a complete table rendering below a row-count threshold, on the assumption this would affect only documents with small tables. That assumption was not checked against the corpus distribution and proved false: most tables in the benchmark are small, so the change again perturbed the majority of prompts, and measured accuracy fell from 0.340 to 0.300. The methodological conclusion is that in this configuration a change cannot be evaluated by its effect on aggregate accuracy alone; a targeted fix must be verified against the items it targets, and aggregate movement compared against the perturbation floor established in Section VI-C.</w:t>
      </w:r>
    </w:p>
    <w:p>
      <w:pPr>
        <w:spacing w:after="100" w:before="200"/>
        <w:jc w:val="center"/>
      </w:pPr>
      <w:r>
        <w:rPr>
          <w:rFonts w:ascii="Times New Roman" w:cs="Times New Roman" w:eastAsia="Times New Roman" w:hAnsi="Times New Roman"/>
          <w:sz w:val="20"/>
          <w:szCs w:val="20"/>
        </w:rPr>
        <w:t xml:space="preserve">V. RESULTS</w:t>
      </w:r>
    </w:p>
    <w:p>
      <w:pPr>
        <w:spacing w:after="60" w:before="120"/>
        <w:jc w:val="left"/>
      </w:pPr>
      <w:r>
        <w:rPr>
          <w:rFonts w:ascii="Times New Roman" w:cs="Times New Roman" w:eastAsia="Times New Roman" w:hAnsi="Times New Roman"/>
          <w:i/>
          <w:iCs/>
          <w:sz w:val="20"/>
          <w:szCs w:val="20"/>
        </w:rPr>
        <w:t xml:space="preserve">A. Experiment 1: baseline reliability profile</w:t>
      </w:r>
    </w:p>
    <w:p>
      <w:pPr>
        <w:spacing w:after="60" w:line="240"/>
        <w:ind w:firstLine="288"/>
        <w:jc w:val="both"/>
      </w:pPr>
      <w:r>
        <w:rPr>
          <w:rFonts w:ascii="Times New Roman" w:cs="Times New Roman" w:eastAsia="Times New Roman" w:hAnsi="Times New Roman"/>
          <w:sz w:val="20"/>
          <w:szCs w:val="20"/>
        </w:rPr>
        <w:t xml:space="preserve">Table I reports the baseline over 50 development-split items. Accuracy is 0.340, with a Wilson 95% confidence interval of [0.224, 0.478].</w:t>
      </w:r>
    </w:p>
    <w:p>
      <w:pPr>
        <w:spacing w:after="60" w:before="140"/>
        <w:jc w:val="center"/>
      </w:pPr>
      <w:r>
        <w:rPr>
          <w:rFonts w:ascii="Times New Roman" w:cs="Times New Roman" w:eastAsia="Times New Roman" w:hAnsi="Times New Roman"/>
          <w:sz w:val="16"/>
          <w:szCs w:val="16"/>
        </w:rPr>
        <w:t xml:space="preserve">TABLE I</w:t>
      </w:r>
      <w:r>
        <w:rPr>
          <w:rFonts w:ascii="Times New Roman" w:cs="Times New Roman" w:eastAsia="Times New Roman" w:hAnsi="Times New Roman"/>
          <w:sz w:val="16"/>
          <w:szCs w:val="16"/>
        </w:rPr>
        <w:br/>
        <w:t xml:space="preserve"/>
      </w:r>
      <w:r>
        <w:rPr>
          <w:rFonts w:ascii="Times New Roman" w:cs="Times New Roman" w:eastAsia="Times New Roman" w:hAnsi="Times New Roman"/>
          <w:sz w:val="16"/>
          <w:szCs w:val="16"/>
        </w:rPr>
        <w:t xml:space="preserve">BASELINE RELIABILITY PROFILE (N = 50)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400"/>
        <w:gridCol w:w="1640"/>
      </w:tblGrid>
      <w:tr>
        <w:trPr>
          <w:tblHeader/>
        </w:trPr>
        <w:tc>
          <w:tcPr>
            <w:tcW w:type="dxa" w:w="340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Metric</w:t>
            </w:r>
          </w:p>
        </w:tc>
        <w:tc>
          <w:tcPr>
            <w:tcW w:type="dxa" w:w="164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Value</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Execution accuracy</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0.3400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NESS (strict / revised)</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0.7145 / 0.9085</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Hallucination rate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0.0800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Invalid-format rate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Verifier pass rate (gold-free)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0.5600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0.8960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ECE of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0.5560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ONRS (strict / revised NESS)</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0.5891 / 0.6634</w:t>
            </w:r>
          </w:p>
        </w:tc>
      </w:tr>
    </w:tbl>
    <w:p>
      <w:pPr>
        <w:spacing w:after="60" w:line="240"/>
        <w:ind w:firstLine="288"/>
        <w:jc w:val="both"/>
      </w:pPr>
      <w:r>
        <w:rPr>
          <w:rFonts w:ascii="Times New Roman" w:cs="Times New Roman" w:eastAsia="Times New Roman" w:hAnsi="Times New Roman"/>
          <w:sz w:val="20"/>
          <w:szCs w:val="20"/>
        </w:rPr>
        <w:t xml:space="preserve">The verifier pass rate is itself a finding independent of correctness: in approximately 44% of responses the model’s own stated reasoning did not recompute to its own stated answer on first pass. This is a self-consistency measure that an accuracy-only evaluation cannot express, and it is precisely the quantity that verification-based approaches [11] are designed to expose.</w:t>
      </w:r>
    </w:p>
    <w:p>
      <w:pPr>
        <w:spacing w:after="60" w:line="240"/>
        <w:ind w:firstLine="288"/>
        <w:jc w:val="both"/>
      </w:pPr>
      <w:r>
        <w:rPr>
          <w:rFonts w:ascii="Times New Roman" w:cs="Times New Roman" w:eastAsia="Times New Roman" w:hAnsi="Times New Roman"/>
          <w:sz w:val="20"/>
          <w:szCs w:val="20"/>
        </w:rPr>
        <w:t xml:space="preserve">The 33 incorrect answers were inspected individually and decompose into distinct diagnosable categories rather than a uniform failure mode, summarised in Table II. Each category was confirmed against a specific item by reading the retrieved evidence and the generated reasoning rather than inferred from the score alone.</w:t>
      </w:r>
    </w:p>
    <w:p>
      <w:pPr>
        <w:spacing w:after="60" w:before="140"/>
        <w:jc w:val="center"/>
      </w:pPr>
      <w:r>
        <w:rPr>
          <w:rFonts w:ascii="Times New Roman" w:cs="Times New Roman" w:eastAsia="Times New Roman" w:hAnsi="Times New Roman"/>
          <w:sz w:val="16"/>
          <w:szCs w:val="16"/>
        </w:rPr>
        <w:t xml:space="preserve">TABLE II</w:t>
      </w:r>
      <w:r>
        <w:rPr>
          <w:rFonts w:ascii="Times New Roman" w:cs="Times New Roman" w:eastAsia="Times New Roman" w:hAnsi="Times New Roman"/>
          <w:sz w:val="16"/>
          <w:szCs w:val="16"/>
        </w:rPr>
        <w:br/>
        <w:t xml:space="preserve"/>
      </w:r>
      <w:r>
        <w:rPr>
          <w:rFonts w:ascii="Times New Roman" w:cs="Times New Roman" w:eastAsia="Times New Roman" w:hAnsi="Times New Roman"/>
          <w:sz w:val="16"/>
          <w:szCs w:val="16"/>
        </w:rPr>
        <w:t xml:space="preserve">ERROR CATEGORIES WITH CONFIRMED INSTANCES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tblGrid>
      <w:tr>
        <w:trPr>
          <w:tblHeader/>
        </w:trPr>
        <w:tc>
          <w:tcPr>
            <w:tcW w:type="dxa" w:w="144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Category</w:t>
            </w:r>
          </w:p>
        </w:tc>
        <w:tc>
          <w:tcPr>
            <w:tcW w:type="dxa" w:w="36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Confirmed behaviour</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Arithmetic slip</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Subtraction of two retrieved values miscomputed by an order of magnitude; flagged unverified, uncorrected by the single retry</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Omitted unit</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Percentage computed correctly but reported without the unit, scored as a mismatch under the stated policy</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Wrong column</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Value taken from an adjacent year in a multi-year table</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Wrong formula</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Incorrect denominator selected for a capital-ratio question</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Retrieval miss</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Precise table row never entered the top-k; a rounded prose restatement was used instead</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Near-duplicate</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Two entities each reporting a similar value pair; the wrong pair was used</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Partial aggregation</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Two rows satisfied the question; only the first was used</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Sign error</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Accounting-negative values in parentheses averaged as positives</w:t>
            </w:r>
          </w:p>
        </w:tc>
      </w:tr>
      <w:tr>
        <w:tc>
          <w:tcPr>
            <w:tcW w:type="dxa" w:w="14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Reference error</w:t>
            </w:r>
          </w:p>
        </w:tc>
        <w:tc>
          <w:tcPr>
            <w:tcW w:type="dxa" w:w="36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Benchmark gold label itself incorrect (see text)</w:t>
            </w:r>
          </w:p>
        </w:tc>
      </w:tr>
    </w:tbl>
    <w:p>
      <w:pPr>
        <w:spacing w:after="60" w:line="240"/>
        <w:ind w:firstLine="288"/>
        <w:jc w:val="both"/>
      </w:pPr>
      <w:r>
        <w:rPr>
          <w:rFonts w:ascii="Times New Roman" w:cs="Times New Roman" w:eastAsia="Times New Roman" w:hAnsi="Times New Roman"/>
          <w:sz w:val="20"/>
          <w:szCs w:val="20"/>
        </w:rPr>
        <w:t xml:space="preserve">The final row warrants comment. In one item the annotated reasoning program adds a quantity the source document records as negative, yielding a reference answer arithmetically inconsistent with the evidence the annotation itself cites. The model’s answer was correct and the reference was not. This is a limitation of the benchmark rather than of the system; no special-casing was applied to individual items, as doing so would constitute cherry-picking.</w:t>
      </w:r>
    </w:p>
    <w:p>
      <w:pPr>
        <w:spacing w:after="60" w:before="120"/>
        <w:jc w:val="left"/>
      </w:pPr>
      <w:r>
        <w:rPr>
          <w:rFonts w:ascii="Times New Roman" w:cs="Times New Roman" w:eastAsia="Times New Roman" w:hAnsi="Times New Roman"/>
          <w:i/>
          <w:iCs/>
          <w:sz w:val="20"/>
          <w:szCs w:val="20"/>
        </w:rPr>
        <w:t xml:space="preserve">B. Experiment 2: hallucination detector sensitivity</w:t>
      </w:r>
    </w:p>
    <w:p>
      <w:pPr>
        <w:spacing w:after="60" w:line="240"/>
        <w:ind w:firstLine="288"/>
        <w:jc w:val="both"/>
      </w:pPr>
      <w:r>
        <w:rPr>
          <w:rFonts w:ascii="Times New Roman" w:cs="Times New Roman" w:eastAsia="Times New Roman" w:hAnsi="Times New Roman"/>
          <w:sz w:val="20"/>
          <w:szCs w:val="20"/>
        </w:rPr>
        <w:t xml:space="preserve">An initial two-condition design produced eight of ten byte-identical responses between clean and adversarial conditions, with no decoy value appearing in any response. Investigation showed retrieval had filtered every injected sentence before generation. A third condition and an explicit manipulation check were therefore added, because without the latter a null result is ambiguous between a detector that did not fire and a detector with nothing to fire upon — readings with opposite implications.</w:t>
      </w:r>
    </w:p>
    <w:p>
      <w:pPr>
        <w:spacing w:after="60" w:before="140"/>
        <w:jc w:val="center"/>
      </w:pPr>
      <w:r>
        <w:rPr>
          <w:rFonts w:ascii="Times New Roman" w:cs="Times New Roman" w:eastAsia="Times New Roman" w:hAnsi="Times New Roman"/>
          <w:sz w:val="16"/>
          <w:szCs w:val="16"/>
        </w:rPr>
        <w:t xml:space="preserve">TABLE III</w:t>
      </w:r>
      <w:r>
        <w:rPr>
          <w:rFonts w:ascii="Times New Roman" w:cs="Times New Roman" w:eastAsia="Times New Roman" w:hAnsi="Times New Roman"/>
          <w:sz w:val="16"/>
          <w:szCs w:val="16"/>
        </w:rPr>
        <w:br/>
        <w:t xml:space="preserve"/>
      </w:r>
      <w:r>
        <w:rPr>
          <w:rFonts w:ascii="Times New Roman" w:cs="Times New Roman" w:eastAsia="Times New Roman" w:hAnsi="Times New Roman"/>
          <w:sz w:val="16"/>
          <w:szCs w:val="16"/>
        </w:rPr>
        <w:t xml:space="preserve">DETECTOR SENSITIVITY BY INJECTION ROUTE (N = 10)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60"/>
        <w:gridCol w:w="860"/>
        <w:gridCol w:w="860"/>
        <w:gridCol w:w="880"/>
        <w:gridCol w:w="880"/>
      </w:tblGrid>
      <w:tr>
        <w:trPr>
          <w:tblHeader/>
        </w:trPr>
        <w:tc>
          <w:tcPr>
            <w:tcW w:type="dxa" w:w="156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Condition</w:t>
            </w:r>
          </w:p>
        </w:tc>
        <w:tc>
          <w:tcPr>
            <w:tcW w:type="dxa" w:w="86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Reached</w:t>
            </w:r>
          </w:p>
        </w:tc>
        <w:tc>
          <w:tcPr>
            <w:tcW w:type="dxa" w:w="86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w:t>
            </w:r>
          </w:p>
        </w:tc>
        <w:tc>
          <w:tcPr>
            <w:tcW w:type="dxa" w:w="8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NESS</w:t>
            </w:r>
          </w:p>
        </w:tc>
        <w:tc>
          <w:tcPr>
            <w:tcW w:type="dxa" w:w="8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Halluc.</w:t>
            </w:r>
          </w:p>
        </w:tc>
      </w:tr>
      <w:tr>
        <w:tc>
          <w:tcPr>
            <w:tcW w:type="dxa" w:w="1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Clean control</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0.400</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0.727</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r>
      <w:tr>
        <w:tc>
          <w:tcPr>
            <w:tcW w:type="dxa" w:w="1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Document injection</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0.400</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0.722</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r>
      <w:tr>
        <w:tc>
          <w:tcPr>
            <w:tcW w:type="dxa" w:w="1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Evidence injection</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1.00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0.500</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0.689</w:t>
            </w:r>
          </w:p>
        </w:tc>
        <w:tc>
          <w:tcPr>
            <w:tcW w:type="dxa" w:w="8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0.200</w:t>
            </w:r>
          </w:p>
        </w:tc>
      </w:tr>
    </w:tbl>
    <w:p>
      <w:pPr>
        <w:spacing w:after="60" w:line="240"/>
        <w:ind w:firstLine="288"/>
        <w:jc w:val="both"/>
      </w:pPr>
      <w:r>
        <w:rPr>
          <w:rFonts w:ascii="Times New Roman" w:cs="Times New Roman" w:eastAsia="Times New Roman" w:hAnsi="Times New Roman"/>
          <w:sz w:val="20"/>
          <w:szCs w:val="20"/>
        </w:rPr>
        <w:t xml:space="preserve">Three findings follow. Retrieval is an effective first line of defence: only two of ten document-level distractors survived into the evidence block, so the retrieval stage absorbed 80% of a naive injection attack — an empirical counterpart to the observation that retrieval augmentation reduces hallucination [2]. The detector does respond once contamination reaches the model: under evidence injection the flag rate doubled and NESS declined. And the generator did not adopt injected values, with decoy-as-answer at 0.000 in all three conditions, so the metric movement reflects contaminated context rather than contaminated answers.</w:t>
      </w:r>
    </w:p>
    <w:p>
      <w:pPr>
        <w:spacing w:after="60" w:line="240"/>
        <w:ind w:firstLine="288"/>
        <w:jc w:val="both"/>
      </w:pPr>
      <w:r>
        <w:rPr>
          <w:rFonts w:ascii="Times New Roman" w:cs="Times New Roman" w:eastAsia="Times New Roman" w:hAnsi="Times New Roman"/>
          <w:sz w:val="20"/>
          <w:szCs w:val="20"/>
        </w:rPr>
        <w:t xml:space="preserve">These deltas correspond to single examples at n=10 and the confidence intervals overlap substantially. The mechanism is demonstrated; the magnitude is not established at this sample size. The accuracy increase under evidence injection must not be read as noise improving performance: it reflects one example flipping, consistent with the perturbation instability quantified in Section VI-C.</w:t>
      </w:r>
    </w:p>
    <w:p>
      <w:pPr>
        <w:spacing w:after="60" w:before="120"/>
        <w:jc w:val="left"/>
      </w:pPr>
      <w:r>
        <w:rPr>
          <w:rFonts w:ascii="Times New Roman" w:cs="Times New Roman" w:eastAsia="Times New Roman" w:hAnsi="Times New Roman"/>
          <w:i/>
          <w:iCs/>
          <w:sz w:val="20"/>
          <w:szCs w:val="20"/>
        </w:rPr>
        <w:t xml:space="preserve">C. Experiment 3: overconfidence quantification</w:t>
      </w:r>
    </w:p>
    <w:p>
      <w:pPr>
        <w:spacing w:after="60" w:line="240"/>
        <w:ind w:firstLine="288"/>
        <w:jc w:val="both"/>
      </w:pPr>
      <w:r>
        <w:rPr>
          <w:rFonts w:ascii="Times New Roman" w:cs="Times New Roman" w:eastAsia="Times New Roman" w:hAnsi="Times New Roman"/>
          <w:sz w:val="20"/>
          <w:szCs w:val="20"/>
        </w:rPr>
        <w:t xml:space="preserve">This experiment validates a measurement instrument. If the system is overconfident, a correctly functioning calibration module reports a large error; an ECE near zero would leave nothing to detect and would not validate the module.</w:t>
      </w:r>
    </w:p>
    <w:p>
      <w:pPr>
        <w:spacing w:after="60" w:before="140"/>
        <w:jc w:val="center"/>
      </w:pPr>
      <w:r>
        <w:rPr>
          <w:rFonts w:ascii="Times New Roman" w:cs="Times New Roman" w:eastAsia="Times New Roman" w:hAnsi="Times New Roman"/>
          <w:sz w:val="16"/>
          <w:szCs w:val="16"/>
        </w:rPr>
        <w:t xml:space="preserve">TABLE IV</w:t>
      </w:r>
      <w:r>
        <w:rPr>
          <w:rFonts w:ascii="Times New Roman" w:cs="Times New Roman" w:eastAsia="Times New Roman" w:hAnsi="Times New Roman"/>
          <w:sz w:val="16"/>
          <w:szCs w:val="16"/>
        </w:rPr>
        <w:br/>
        <w:t xml:space="preserve"/>
      </w:r>
      <w:r>
        <w:rPr>
          <w:rFonts w:ascii="Times New Roman" w:cs="Times New Roman" w:eastAsia="Times New Roman" w:hAnsi="Times New Roman"/>
          <w:sz w:val="16"/>
          <w:szCs w:val="16"/>
        </w:rPr>
        <w:t xml:space="preserve">CALIBRATION AND OVERCONFIDENCE (N = 10)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400"/>
        <w:gridCol w:w="1640"/>
      </w:tblGrid>
      <w:tr>
        <w:trPr>
          <w:tblHeader/>
        </w:trPr>
        <w:tc>
          <w:tcPr>
            <w:tcW w:type="dxa" w:w="340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Quantity</w:t>
            </w:r>
          </w:p>
        </w:tc>
        <w:tc>
          <w:tcPr>
            <w:tcW w:type="dxa" w:w="164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Value</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Accuracy</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0.9000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confidence | correct</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0.9000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Mean confidence | incorrect</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0.9000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Confidence gap (correct - incorrect)</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Overconfidence gap (conf. - accuracy)</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High-confidence errors</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0.6000</w:t>
            </w:r>
          </w:p>
        </w:tc>
      </w:tr>
      <w:tr>
        <w:tc>
          <w:tcPr>
            <w:tcW w:type="dxa" w:w="340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ECE of self-reported confidence</w:t>
            </w:r>
          </w:p>
        </w:tc>
        <w:tc>
          <w:tcPr>
            <w:tcW w:type="dxa" w:w="16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0.5000</w:t>
            </w:r>
          </w:p>
        </w:tc>
      </w:tr>
    </w:tbl>
    <w:p>
      <w:pPr>
        <w:spacing w:after="60" w:line="240"/>
        <w:ind w:firstLine="288"/>
        <w:jc w:val="both"/>
      </w:pPr>
      <w:r>
        <w:rPr>
          <w:rFonts w:ascii="Times New Roman" w:cs="Times New Roman" w:eastAsia="Times New Roman" w:hAnsi="Times New Roman"/>
          <w:sz w:val="20"/>
          <w:szCs w:val="20"/>
        </w:rPr>
        <w:t xml:space="preserve">The model reported 0.90 confidence on every example, on correct and incorrect answers alike. The resulting confidence gap of exactly 0.000 is categorical rather than marginal: self-reported confidence carries no discriminative information about correctness whatsoever. Stated confidence exceeds accuracy by 0.500, and 60% of scored responses were confidently wrong at a threshold of 0.8. This is a stronger form of the miscalibration reported for logit-derived probabilities [14], and is consistent with the mixed results obtained when eliciting self-assessment in natural language [15]. The n=50 baseline independently corroborates the pattern, with mean confidence 0.896 against accuracy 0.340.</w:t>
      </w:r>
    </w:p>
    <w:p>
      <w:pPr>
        <w:spacing w:after="60" w:before="120"/>
        <w:jc w:val="left"/>
      </w:pPr>
      <w:r>
        <w:rPr>
          <w:rFonts w:ascii="Times New Roman" w:cs="Times New Roman" w:eastAsia="Times New Roman" w:hAnsi="Times New Roman"/>
          <w:i/>
          <w:iCs/>
          <w:sz w:val="20"/>
          <w:szCs w:val="20"/>
        </w:rPr>
        <w:t xml:space="preserve">D. Experiment 4: ONRS response to graded noise</w:t>
      </w:r>
    </w:p>
    <w:p>
      <w:pPr>
        <w:spacing w:after="60" w:line="240"/>
        <w:ind w:firstLine="288"/>
        <w:jc w:val="both"/>
      </w:pPr>
      <w:r>
        <w:rPr>
          <w:rFonts w:ascii="Times New Roman" w:cs="Times New Roman" w:eastAsia="Times New Roman" w:hAnsi="Times New Roman"/>
          <w:sz w:val="20"/>
          <w:szCs w:val="20"/>
        </w:rPr>
        <w:t xml:space="preserve">Distractor sentences were injected into the evidence block after retrieval, guaranteeing delivery, at five graded levels over 50 items each.</w:t>
      </w:r>
    </w:p>
    <w:p>
      <w:pPr>
        <w:spacing w:after="60" w:before="140"/>
        <w:jc w:val="center"/>
      </w:pPr>
      <w:r>
        <w:rPr>
          <w:rFonts w:ascii="Times New Roman" w:cs="Times New Roman" w:eastAsia="Times New Roman" w:hAnsi="Times New Roman"/>
          <w:sz w:val="16"/>
          <w:szCs w:val="16"/>
        </w:rPr>
        <w:t xml:space="preserve">TABLE V</w:t>
      </w:r>
      <w:r>
        <w:rPr>
          <w:rFonts w:ascii="Times New Roman" w:cs="Times New Roman" w:eastAsia="Times New Roman" w:hAnsi="Times New Roman"/>
          <w:sz w:val="16"/>
          <w:szCs w:val="16"/>
        </w:rPr>
        <w:br/>
        <w:t xml:space="preserve"/>
      </w:r>
      <w:r>
        <w:rPr>
          <w:rFonts w:ascii="Times New Roman" w:cs="Times New Roman" w:eastAsia="Times New Roman" w:hAnsi="Times New Roman"/>
          <w:sz w:val="16"/>
          <w:szCs w:val="16"/>
        </w:rPr>
        <w:t xml:space="preserve">METRIC RESPONSE TO GRADED CONTEXT NOISE (N = 50 PER LEVEL)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40"/>
        <w:gridCol w:w="800"/>
        <w:gridCol w:w="940"/>
        <w:gridCol w:w="900"/>
        <w:gridCol w:w="800"/>
        <w:gridCol w:w="860"/>
      </w:tblGrid>
      <w:tr>
        <w:trPr>
          <w:tblHeader/>
        </w:trPr>
        <w:tc>
          <w:tcPr>
            <w:tcW w:type="dxa" w:w="74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Noise</w:t>
            </w:r>
          </w:p>
        </w:tc>
        <w:tc>
          <w:tcPr>
            <w:tcW w:type="dxa" w:w="8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w:t>
            </w:r>
          </w:p>
        </w:tc>
        <w:tc>
          <w:tcPr>
            <w:tcW w:type="dxa" w:w="94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NESS</w:t>
            </w:r>
          </w:p>
        </w:tc>
        <w:tc>
          <w:tcPr>
            <w:tcW w:type="dxa" w:w="9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Halluc.</w:t>
            </w:r>
          </w:p>
        </w:tc>
        <w:tc>
          <w:tcPr>
            <w:tcW w:type="dxa" w:w="80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ECE</w:t>
            </w:r>
          </w:p>
        </w:tc>
        <w:tc>
          <w:tcPr>
            <w:tcW w:type="dxa" w:w="86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ONRS</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0.340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0.7145</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0.080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0.556</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0.5891</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10%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0.300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0.7109</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0.580</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0.5673</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20%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0.380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0.7114</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0.120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0.492</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0.6050</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30%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0.360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0.6922</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0.100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0.524</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0.5909</w:t>
            </w:r>
          </w:p>
        </w:tc>
      </w:tr>
      <w:tr>
        <w:tc>
          <w:tcPr>
            <w:tcW w:type="dxa" w:w="74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40%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0.320</w:t>
            </w:r>
          </w:p>
        </w:tc>
        <w:tc>
          <w:tcPr>
            <w:tcW w:type="dxa" w:w="94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0.7132</w:t>
            </w:r>
          </w:p>
        </w:tc>
        <w:tc>
          <w:tcPr>
            <w:tcW w:type="dxa" w:w="9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0.120</w:t>
            </w:r>
          </w:p>
        </w:tc>
        <w:tc>
          <w:tcPr>
            <w:tcW w:type="dxa" w:w="80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0.568</w:t>
            </w:r>
          </w:p>
        </w:tc>
        <w:tc>
          <w:tcPr>
            <w:tcW w:type="dxa" w:w="86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0.5724</w:t>
            </w:r>
          </w:p>
        </w:tc>
      </w:tr>
    </w:tbl>
    <w:p>
      <w:pPr>
        <w:spacing w:after="60" w:line="240"/>
        <w:ind w:firstLine="288"/>
        <w:jc w:val="both"/>
      </w:pPr>
      <w:r>
        <w:rPr>
          <w:rFonts w:ascii="Times New Roman" w:cs="Times New Roman" w:eastAsia="Times New Roman" w:hAnsi="Times New Roman"/>
          <w:sz w:val="20"/>
          <w:szCs w:val="20"/>
        </w:rPr>
        <w:t xml:space="preserve">ONRS declined by 0.0168 overall but not monotonically, oscillating within a band of 0.038 while accuracy alone varied by 0.080 across levels. The correlation between noise level and ONRS is -0.10, i.e. effectively none. The hallucination rate, by contrast, correlates +0.76 with noise and exceeds the clean baseline at all four noise levels. The composite therefore failed to signal a degradation that one of its own components detected.</w:t>
      </w:r>
    </w:p>
    <w:p>
      <w:pPr>
        <w:spacing w:after="100" w:before="200"/>
        <w:jc w:val="center"/>
      </w:pPr>
      <w:r>
        <w:rPr>
          <w:rFonts w:ascii="Times New Roman" w:cs="Times New Roman" w:eastAsia="Times New Roman" w:hAnsi="Times New Roman"/>
          <w:sz w:val="20"/>
          <w:szCs w:val="20"/>
        </w:rPr>
        <w:t xml:space="preserve">VI. DISCUSSION</w:t>
      </w:r>
    </w:p>
    <w:p>
      <w:pPr>
        <w:spacing w:after="60" w:before="120"/>
        <w:jc w:val="left"/>
      </w:pPr>
      <w:r>
        <w:rPr>
          <w:rFonts w:ascii="Times New Roman" w:cs="Times New Roman" w:eastAsia="Times New Roman" w:hAnsi="Times New Roman"/>
          <w:i/>
          <w:iCs/>
          <w:sz w:val="20"/>
          <w:szCs w:val="20"/>
        </w:rPr>
        <w:t xml:space="preserve">A. Accuracy in context</w:t>
      </w:r>
    </w:p>
    <w:p>
      <w:pPr>
        <w:spacing w:after="60" w:line="240"/>
        <w:ind w:firstLine="288"/>
        <w:jc w:val="both"/>
      </w:pPr>
      <w:r>
        <w:rPr>
          <w:rFonts w:ascii="Times New Roman" w:cs="Times New Roman" w:eastAsia="Times New Roman" w:hAnsi="Times New Roman"/>
          <w:sz w:val="20"/>
          <w:szCs w:val="20"/>
        </w:rPr>
        <w:t xml:space="preserve">Table VI situates the observed accuracy against published FinQA results.</w:t>
      </w:r>
    </w:p>
    <w:p>
      <w:pPr>
        <w:spacing w:after="60" w:before="140"/>
        <w:jc w:val="center"/>
      </w:pPr>
      <w:r>
        <w:rPr>
          <w:rFonts w:ascii="Times New Roman" w:cs="Times New Roman" w:eastAsia="Times New Roman" w:hAnsi="Times New Roman"/>
          <w:sz w:val="16"/>
          <w:szCs w:val="16"/>
        </w:rPr>
        <w:t xml:space="preserve">TABLE VI</w:t>
      </w:r>
      <w:r>
        <w:rPr>
          <w:rFonts w:ascii="Times New Roman" w:cs="Times New Roman" w:eastAsia="Times New Roman" w:hAnsi="Times New Roman"/>
          <w:sz w:val="16"/>
          <w:szCs w:val="16"/>
        </w:rPr>
        <w:br/>
        <w:t xml:space="preserve"/>
      </w:r>
      <w:r>
        <w:rPr>
          <w:rFonts w:ascii="Times New Roman" w:cs="Times New Roman" w:eastAsia="Times New Roman" w:hAnsi="Times New Roman"/>
          <w:sz w:val="16"/>
          <w:szCs w:val="16"/>
        </w:rPr>
        <w:t xml:space="preserve">PUBLISHED FINQA EXECUTION ACCURACY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560"/>
        <w:gridCol w:w="1480"/>
      </w:tblGrid>
      <w:tr>
        <w:trPr>
          <w:tblHeader/>
        </w:trPr>
        <w:tc>
          <w:tcPr>
            <w:tcW w:type="dxa" w:w="3560"/>
            <w:shd w:fill="E8E8E8" w:val="clear"/>
            <w:tcMar>
              <w:top w:type="dxa" w:w="30"/>
              <w:left w:type="dxa" w:w="60"/>
              <w:bottom w:type="dxa" w:w="30"/>
              <w:right w:type="dxa" w:w="60"/>
            </w:tcMar>
          </w:tcPr>
          <w:p>
            <w:pPr>
              <w:spacing w:after="0" w:line="220"/>
              <w:jc w:val="left"/>
            </w:pPr>
            <w:r>
              <w:rPr>
                <w:rFonts w:ascii="Times New Roman" w:cs="Times New Roman" w:eastAsia="Times New Roman" w:hAnsi="Times New Roman"/>
                <w:b/>
                <w:bCs/>
                <w:sz w:val="16"/>
                <w:szCs w:val="16"/>
              </w:rPr>
              <w:t xml:space="preserve">System</w:t>
            </w:r>
          </w:p>
        </w:tc>
        <w:tc>
          <w:tcPr>
            <w:tcW w:type="dxa" w:w="1480"/>
            <w:shd w:fill="E8E8E8" w:val="clear"/>
            <w:tcMar>
              <w:top w:type="dxa" w:w="30"/>
              <w:left w:type="dxa" w:w="60"/>
              <w:bottom w:type="dxa" w:w="30"/>
              <w:right w:type="dxa" w:w="60"/>
            </w:tcMar>
          </w:tcPr>
          <w:p>
            <w:pPr>
              <w:spacing w:after="0" w:line="220"/>
              <w:jc w:val="center"/>
            </w:pPr>
            <w:r>
              <w:rPr>
                <w:rFonts w:ascii="Times New Roman" w:cs="Times New Roman" w:eastAsia="Times New Roman" w:hAnsi="Times New Roman"/>
                <w:b/>
                <w:bCs/>
                <w:sz w:val="16"/>
                <w:szCs w:val="16"/>
              </w:rPr>
              <w:t xml:space="preserve">Accuracy</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Human expert [3]</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91.16%</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FinQANet, RoBERTa-large, gold retrieval [3]</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70.0%</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FinQANet, RoBERTa-large [3]</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61.24%</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FinQANet, RoBERTa-base [3]</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56.1%</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General crowd worker [3]</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50.68%</w:t>
            </w:r>
          </w:p>
        </w:tc>
      </w:tr>
      <w:tr>
        <w:tc>
          <w:tcPr>
            <w:tcW w:type="dxa" w:w="3560"/>
            <w:tcMar>
              <w:top w:type="dxa" w:w="30"/>
              <w:left w:type="dxa" w:w="60"/>
              <w:bottom w:type="dxa" w:w="30"/>
              <w:right w:type="dxa" w:w="60"/>
            </w:tcMar>
          </w:tcPr>
          <w:p>
            <w:pPr>
              <w:spacing w:after="0" w:line="220"/>
              <w:jc w:val="left"/>
            </w:pPr>
            <w:r>
              <w:rPr>
                <w:rFonts w:ascii="Times New Roman" w:cs="Times New Roman" w:eastAsia="Times New Roman" w:hAnsi="Times New Roman"/>
                <w:sz w:val="16"/>
                <w:szCs w:val="16"/>
              </w:rPr>
              <w:t xml:space="preserve">This system (3B, 4-bit, laptop)</w:t>
            </w:r>
          </w:p>
        </w:tc>
        <w:tc>
          <w:tcPr>
            <w:tcW w:type="dxa" w:w="1480"/>
            <w:tcMar>
              <w:top w:type="dxa" w:w="30"/>
              <w:left w:type="dxa" w:w="60"/>
              <w:bottom w:type="dxa" w:w="30"/>
              <w:right w:type="dxa" w:w="60"/>
            </w:tcMar>
          </w:tcPr>
          <w:p>
            <w:pPr>
              <w:spacing w:after="0" w:line="220"/>
              <w:jc w:val="center"/>
            </w:pPr>
            <w:r>
              <w:rPr>
                <w:rFonts w:ascii="Times New Roman" w:cs="Times New Roman" w:eastAsia="Times New Roman" w:hAnsi="Times New Roman"/>
                <w:sz w:val="16"/>
                <w:szCs w:val="16"/>
              </w:rPr>
              <w:t xml:space="preserve">34.0%</w:t>
            </w:r>
          </w:p>
        </w:tc>
      </w:tr>
    </w:tbl>
    <w:p>
      <w:pPr>
        <w:spacing w:after="60" w:line="240"/>
        <w:ind w:firstLine="288"/>
        <w:jc w:val="both"/>
      </w:pPr>
      <w:r>
        <w:rPr>
          <w:rFonts w:ascii="Times New Roman" w:cs="Times New Roman" w:eastAsia="Times New Roman" w:hAnsi="Times New Roman"/>
          <w:sz w:val="20"/>
          <w:szCs w:val="20"/>
        </w:rPr>
        <w:t xml:space="preserve">Three observations follow. First, the benchmark is unsaturated: human experts reach 91.16% and the strongest published model in the original work reaches 61.24%, so no system approaches ceiling, and a figure near 100% would warrant scrutiny of the evaluation rather than confidence in the system. Second, the comparison systems are not comparable in kind. The FinQANet variants are fine-tuned on the benchmark’s training split with a task-specific program-generation architecture; the present system is a general-purpose instruction-tuned model [18] used few-shot, 4-bit quantised [19], at 3B parameters, on a 4 GB consumer GPU. The gap is attributable to fine-tuning, model scale and quantisation, in that order. Third, the gap is decomposed rather than asserted, and the figure reported is post-audit: two real scoring defects were found and corrected, changing which answers counted as correct.</w:t>
      </w:r>
    </w:p>
    <w:p>
      <w:pPr>
        <w:spacing w:after="60" w:before="120"/>
        <w:jc w:val="left"/>
      </w:pPr>
      <w:r>
        <w:rPr>
          <w:rFonts w:ascii="Times New Roman" w:cs="Times New Roman" w:eastAsia="Times New Roman" w:hAnsi="Times New Roman"/>
          <w:i/>
          <w:iCs/>
          <w:sz w:val="20"/>
          <w:szCs w:val="20"/>
        </w:rPr>
        <w:t xml:space="preserve">B. A structural critique of the composite metric</w:t>
      </w:r>
    </w:p>
    <w:p>
      <w:pPr>
        <w:spacing w:after="60" w:line="240"/>
        <w:ind w:firstLine="288"/>
        <w:jc w:val="both"/>
      </w:pPr>
      <w:r>
        <w:rPr>
          <w:rFonts w:ascii="Times New Roman" w:cs="Times New Roman" w:eastAsia="Times New Roman" w:hAnsi="Times New Roman"/>
          <w:sz w:val="20"/>
          <w:szCs w:val="20"/>
        </w:rPr>
        <w:t xml:space="preserve">That ONRS did not track noise has a cause visible in the data. Because self-reported confidence is near-constant at approximately 0.90, ECE becomes an approximately deterministic function of accuracy: across the five noise levels the correlation between accuracy and ECE is -0.97, and ECE closely tracks the quantity 0.90 minus accuracy. The calibration term therefore carries essentially no information independent of accuracy. In consequence the nominal 0.30 weight on accuracy is in practice approximately 0.50, with a further 0.20 entering through the degenerate calibration term. The composite inherits the full run-to-run instability of accuracy, which at this sample size and noise magnitude exceeds the effect being measured. The empirical correlation between accuracy and ONRS is +0.98: in this configuration the composite is accuracy in disguise.</w:t>
      </w:r>
    </w:p>
    <w:p>
      <w:pPr>
        <w:spacing w:after="60" w:line="240"/>
        <w:ind w:firstLine="288"/>
        <w:jc w:val="both"/>
      </w:pPr>
      <w:r>
        <w:rPr>
          <w:rFonts w:ascii="Times New Roman" w:cs="Times New Roman" w:eastAsia="Times New Roman" w:hAnsi="Times New Roman"/>
          <w:sz w:val="20"/>
          <w:szCs w:val="20"/>
        </w:rPr>
        <w:t xml:space="preserve">This degeneracy is a property of the confidence signal rather than of the aggregation scheme alone. Logit-derived confidence [14] varies with input difficulty and would not collapse in this way; prompted self-assessment [15] evidently can. Three revisions follow directly. Self-reported confidence should be replaced with confidence derived from token probabilities, so the calibration term carries independent signal. The composite should be re-weighted or orthogonalised so accuracy is not double-counted. And component metrics should be reported alongside any composite, since here the composite obscured a signal clearly present in its parts.</w:t>
      </w:r>
    </w:p>
    <w:p>
      <w:pPr>
        <w:spacing w:after="60" w:before="120"/>
        <w:jc w:val="left"/>
      </w:pPr>
      <w:r>
        <w:rPr>
          <w:rFonts w:ascii="Times New Roman" w:cs="Times New Roman" w:eastAsia="Times New Roman" w:hAnsi="Times New Roman"/>
          <w:i/>
          <w:iCs/>
          <w:sz w:val="20"/>
          <w:szCs w:val="20"/>
        </w:rPr>
        <w:t xml:space="preserve">C. Threats to validity</w:t>
      </w:r>
    </w:p>
    <w:p>
      <w:pPr>
        <w:spacing w:after="60" w:line="240"/>
        <w:ind w:firstLine="288"/>
        <w:jc w:val="both"/>
      </w:pPr>
      <w:r>
        <w:rPr>
          <w:rFonts w:ascii="Times New Roman" w:cs="Times New Roman" w:eastAsia="Times New Roman" w:hAnsi="Times New Roman"/>
          <w:sz w:val="20"/>
          <w:szCs w:val="20"/>
        </w:rPr>
        <w:t xml:space="preserve">The principal threat is answer instability. In the course of evaluating the two reverted retrieval modifications, approximately 28% of answers (14 of 50) changed between runs differing only in retrieval depth, a variable unrelated to the questions themselves. This instability is comparable to or larger than several of the effects the experiments seek to measure, and is the dominant limitation on Experiments 2 and 4.</w:t>
      </w:r>
    </w:p>
    <w:p>
      <w:pPr>
        <w:spacing w:after="60" w:line="240"/>
        <w:ind w:firstLine="288"/>
        <w:jc w:val="both"/>
      </w:pPr>
      <w:r>
        <w:rPr>
          <w:rFonts w:ascii="Times New Roman" w:cs="Times New Roman" w:eastAsia="Times New Roman" w:hAnsi="Times New Roman"/>
          <w:sz w:val="20"/>
          <w:szCs w:val="20"/>
        </w:rPr>
        <w:t xml:space="preserve">Further limitations include sample sizes of 10 for two experiments; a single random seed with greedy decoding, leaving cross-seed variance uncharacterised; the absence of an ablation separating quantisation error from model-scale effects; benchmark annotation noise, of which one instance was confirmed but whose overall rate was not estimated; and the fact that NESS measures numeric overlap rather than logical entailment. A model dividing the correct operands in the wrong order produces a derivable and therefore supported value; accuracy and the post-hoc verifier, not NESS, detect that case. This is the same intrinsic-versus-extrinsic distinction drawn in the hallucination literature [9], and NESS addresses only the extrinsic form.</w:t>
      </w:r>
    </w:p>
    <w:p>
      <w:pPr>
        <w:spacing w:after="60" w:before="120"/>
        <w:jc w:val="left"/>
      </w:pPr>
      <w:r>
        <w:rPr>
          <w:rFonts w:ascii="Times New Roman" w:cs="Times New Roman" w:eastAsia="Times New Roman" w:hAnsi="Times New Roman"/>
          <w:i/>
          <w:iCs/>
          <w:sz w:val="20"/>
          <w:szCs w:val="20"/>
        </w:rPr>
        <w:t xml:space="preserve">D. Implications for evaluation practice</w:t>
      </w:r>
    </w:p>
    <w:p>
      <w:pPr>
        <w:spacing w:after="60" w:line="240"/>
        <w:ind w:firstLine="288"/>
        <w:jc w:val="both"/>
      </w:pPr>
      <w:r>
        <w:rPr>
          <w:rFonts w:ascii="Times New Roman" w:cs="Times New Roman" w:eastAsia="Times New Roman" w:hAnsi="Times New Roman"/>
          <w:sz w:val="20"/>
          <w:szCs w:val="20"/>
        </w:rPr>
        <w:t xml:space="preserve">Two implications generalise beyond this system. The first is that adversarial evaluation of a RAG pipeline requires an explicit manipulation check. Without one, a null result cannot be distinguished from a failed manipulation, and in the present case the initial design would have supported the incorrect conclusion that the detector was insensitive when in fact retrieval had removed the stimulus. The second is that composite reliability scores should be published alongside their components rather than in place of them. The composite proposed here is not unusual in form, and the degeneracy identified in Section VI-B would be invisible to a reader given only the aggregate figure.</w:t>
      </w:r>
    </w:p>
    <w:p>
      <w:pPr>
        <w:spacing w:after="100" w:before="200"/>
        <w:jc w:val="center"/>
      </w:pPr>
      <w:r>
        <w:rPr>
          <w:rFonts w:ascii="Times New Roman" w:cs="Times New Roman" w:eastAsia="Times New Roman" w:hAnsi="Times New Roman"/>
          <w:sz w:val="20"/>
          <w:szCs w:val="20"/>
        </w:rPr>
        <w:t xml:space="preserve">VII. REPRODUCIBILITY</w:t>
      </w:r>
    </w:p>
    <w:p>
      <w:pPr>
        <w:spacing w:after="60" w:line="240"/>
        <w:ind w:firstLine="288"/>
        <w:jc w:val="both"/>
      </w:pPr>
      <w:r>
        <w:rPr>
          <w:rFonts w:ascii="Times New Roman" w:cs="Times New Roman" w:eastAsia="Times New Roman" w:hAnsi="Times New Roman"/>
          <w:sz w:val="20"/>
          <w:szCs w:val="20"/>
        </w:rPr>
        <w:t xml:space="preserve">All experiments are deterministic given a fixed seed: generation is greedy, retrieval is exact nearest-neighbour search over fixed embeddings, and sample selection takes the first n items of the split rather than a random draw. Each experiment writes a per-example record and a summary containing every diagnostic field, both NESS definitions, and the manipulation check where applicable. Because both metric definitions are stored per row, any completed run can be re-scored under either definition without regenerating model outputs, and any published figure can be cross-checked against its alternative.</w:t>
      </w:r>
    </w:p>
    <w:p>
      <w:pPr>
        <w:spacing w:after="60" w:line="240"/>
        <w:ind w:firstLine="288"/>
        <w:jc w:val="both"/>
      </w:pPr>
      <w:r>
        <w:rPr>
          <w:rFonts w:ascii="Times New Roman" w:cs="Times New Roman" w:eastAsia="Times New Roman" w:hAnsi="Times New Roman"/>
          <w:sz w:val="20"/>
          <w:szCs w:val="20"/>
        </w:rPr>
        <w:t xml:space="preserve">Three test suites accompany the implementation and execute independently of the experiments: gold-answer resolution regression tests covering every scaling case observed, metric tests including the adversarial false-positive measurement of Section IV-D, and verifier regression tests reproducing a specific arithmetic slip an earlier implementation had failed to detect. The false-positive test runs on every invocation, so the validity claim for the revised NESS definition is re-established on each execution rather than resting on a single historical measurement.</w:t>
      </w:r>
    </w:p>
    <w:p>
      <w:pPr>
        <w:spacing w:after="100" w:before="200"/>
        <w:jc w:val="center"/>
      </w:pPr>
      <w:r>
        <w:rPr>
          <w:rFonts w:ascii="Times New Roman" w:cs="Times New Roman" w:eastAsia="Times New Roman" w:hAnsi="Times New Roman"/>
          <w:sz w:val="20"/>
          <w:szCs w:val="20"/>
        </w:rPr>
        <w:t xml:space="preserve">VIII. CONCLUSION AND FUTURE WORK</w:t>
      </w:r>
    </w:p>
    <w:p>
      <w:pPr>
        <w:spacing w:after="60" w:line="240"/>
        <w:ind w:firstLine="288"/>
        <w:jc w:val="both"/>
      </w:pPr>
      <w:r>
        <w:rPr>
          <w:rFonts w:ascii="Times New Roman" w:cs="Times New Roman" w:eastAsia="Times New Roman" w:hAnsi="Times New Roman"/>
          <w:sz w:val="20"/>
          <w:szCs w:val="20"/>
        </w:rPr>
        <w:t xml:space="preserve">This work presented a four-component framework for measuring the numerical reliability of a financial RAG system and evaluated it across four experiments on FinQA under a consumer-hardware constraint. The most robust finding is that the system’s self-reported confidence carries no discriminative information about its own correctness, with a confidence gap of exactly zero and 60% of responses confidently wrong. Adversarial testing showed retrieval filtering 80% of document-level numerical distractors, with the hallucination detector responding when contamination bypassed that filter. The proposed composite score was shown not to track graded degradation, for the structural reason that near-constant self-reported confidence renders the calibration term redundant with accuracy.</w:t>
      </w:r>
    </w:p>
    <w:p>
      <w:pPr>
        <w:spacing w:after="60" w:line="240"/>
        <w:ind w:firstLine="288"/>
        <w:jc w:val="both"/>
      </w:pPr>
      <w:r>
        <w:rPr>
          <w:rFonts w:ascii="Times New Roman" w:cs="Times New Roman" w:eastAsia="Times New Roman" w:hAnsi="Times New Roman"/>
          <w:sz w:val="20"/>
          <w:szCs w:val="20"/>
        </w:rPr>
        <w:t xml:space="preserve">Future work follows from these findings. A frontier-model comparison using the identical pipeline, for which the backend is implemented, would separate limitations of the retrieval-augmented approach from limitations of a small quantised generator. Token-probability confidence would make the calibration term informative and permit re-derivation of the composite weights. Table-aware retrieval remains open: dense per-row retrieval was confirmed to miss the specific row a question required when near-duplicate prose sentences outranked it, and two general remedies were tried and reverted. Extension to conversational settings [5] and to hybrid table-text evidence [4] would test whether the framework’s components remain informative when intermediate results become operands in later turns. Finally, multi-seed characterisation is needed to establish a formal noise floor against which effect sizes at this scale can be judged.</w:t>
      </w:r>
    </w:p>
    <w:p>
      <w:pPr>
        <w:spacing w:after="100" w:before="200"/>
        <w:jc w:val="center"/>
      </w:pPr>
      <w:r>
        <w:rPr>
          <w:rFonts w:ascii="Times New Roman" w:cs="Times New Roman" w:eastAsia="Times New Roman" w:hAnsi="Times New Roman"/>
          <w:sz w:val="20"/>
          <w:szCs w:val="20"/>
        </w:rPr>
        <w:t xml:space="preserve">REFERENCES</w:t>
      </w:r>
    </w:p>
    <w:p>
      <w:pPr>
        <w:spacing w:after="40" w:line="220"/>
        <w:ind w:left="360" w:hanging="360"/>
        <w:jc w:val="both"/>
      </w:pPr>
      <w:r>
        <w:rPr>
          <w:rFonts w:ascii="Times New Roman" w:cs="Times New Roman" w:eastAsia="Times New Roman" w:hAnsi="Times New Roman"/>
          <w:sz w:val="18"/>
          <w:szCs w:val="18"/>
        </w:rPr>
        <w:t xml:space="preserve">[1] P. Lewis, E. Perez, A. Piktus, F. Petroni, V. Karpukhin, N. Goyal, H. Kuttler, M. Lewis, W. Yih, T. Rocktaschel, S. Riedel, and D. Kiela, "Retrieval-augmented generation for knowledge-intensive NLP tasks," in Proc. Adv. Neural Inf. Process. Syst. (NeurIPS), 2020, pp. 9459-9474.</w:t>
      </w:r>
    </w:p>
    <w:p>
      <w:pPr>
        <w:spacing w:after="40" w:line="220"/>
        <w:ind w:left="360" w:hanging="360"/>
        <w:jc w:val="both"/>
      </w:pPr>
      <w:r>
        <w:rPr>
          <w:rFonts w:ascii="Times New Roman" w:cs="Times New Roman" w:eastAsia="Times New Roman" w:hAnsi="Times New Roman"/>
          <w:sz w:val="18"/>
          <w:szCs w:val="18"/>
        </w:rPr>
        <w:t xml:space="preserve">[2] K. Shuster, S. Poff, M. Chen, D. Kiela, and J. Weston, "Retrieval augmentation reduces hallucination in conversation," in Findings of EMNLP, 2021, pp. 3784-3803.</w:t>
      </w:r>
    </w:p>
    <w:p>
      <w:pPr>
        <w:spacing w:after="40" w:line="220"/>
        <w:ind w:left="360" w:hanging="360"/>
        <w:jc w:val="both"/>
      </w:pPr>
      <w:r>
        <w:rPr>
          <w:rFonts w:ascii="Times New Roman" w:cs="Times New Roman" w:eastAsia="Times New Roman" w:hAnsi="Times New Roman"/>
          <w:sz w:val="18"/>
          <w:szCs w:val="18"/>
        </w:rPr>
        <w:t xml:space="preserve">[3] Z. Chen, W. Chen, C. Smiley, S. Shah, I. Borova, D. Langdon, R. Moussa, M. Beane, T. Huang, B. Routledge, and W. Y. Wang, "FinQA: A dataset of numerical reasoning over financial data," in Proc. Conf. Empirical Methods Natural Lang. Process. (EMNLP), 2021, pp. 3697-3711.</w:t>
      </w:r>
    </w:p>
    <w:p>
      <w:pPr>
        <w:spacing w:after="40" w:line="220"/>
        <w:ind w:left="360" w:hanging="360"/>
        <w:jc w:val="both"/>
      </w:pPr>
      <w:r>
        <w:rPr>
          <w:rFonts w:ascii="Times New Roman" w:cs="Times New Roman" w:eastAsia="Times New Roman" w:hAnsi="Times New Roman"/>
          <w:sz w:val="18"/>
          <w:szCs w:val="18"/>
        </w:rPr>
        <w:t xml:space="preserve">[4] F. Zhu, W. Lei, Y. Huang, C. Wang, S. Zhang, J. Lv, F. Feng, and T.-S. Chua, "TAT-QA: A question answering benchmark on a hybrid of tabular and textual content in finance," in Proc. 59th Annu. Meeting Assoc. Comput. Linguistics (ACL), 2021, pp. 3277-3287.</w:t>
      </w:r>
    </w:p>
    <w:p>
      <w:pPr>
        <w:spacing w:after="40" w:line="220"/>
        <w:ind w:left="360" w:hanging="360"/>
        <w:jc w:val="both"/>
      </w:pPr>
      <w:r>
        <w:rPr>
          <w:rFonts w:ascii="Times New Roman" w:cs="Times New Roman" w:eastAsia="Times New Roman" w:hAnsi="Times New Roman"/>
          <w:sz w:val="18"/>
          <w:szCs w:val="18"/>
        </w:rPr>
        <w:t xml:space="preserve">[5] Z. Chen, S. Li, C. Smiley, Z. Ma, S. Shah, and W. Y. Wang, "ConvFinQA: Exploring the chain of numerical reasoning in conversational finance question answering," in Proc. EMNLP, 2022, pp. 6279-6292.</w:t>
      </w:r>
    </w:p>
    <w:p>
      <w:pPr>
        <w:spacing w:after="40" w:line="220"/>
        <w:ind w:left="360" w:hanging="360"/>
        <w:jc w:val="both"/>
      </w:pPr>
      <w:r>
        <w:rPr>
          <w:rFonts w:ascii="Times New Roman" w:cs="Times New Roman" w:eastAsia="Times New Roman" w:hAnsi="Times New Roman"/>
          <w:sz w:val="18"/>
          <w:szCs w:val="18"/>
        </w:rPr>
        <w:t xml:space="preserve">[6] V. Karpukhin, B. Oguz, S. Min, P. Lewis, L. Wu, S. Edunov, D. Chen, and W. Yih, "Dense passage retrieval for open-domain question answering," in Proc. EMNLP, 2020, pp. 6769-6781.</w:t>
      </w:r>
    </w:p>
    <w:p>
      <w:pPr>
        <w:spacing w:after="40" w:line="220"/>
        <w:ind w:left="360" w:hanging="360"/>
        <w:jc w:val="both"/>
      </w:pPr>
      <w:r>
        <w:rPr>
          <w:rFonts w:ascii="Times New Roman" w:cs="Times New Roman" w:eastAsia="Times New Roman" w:hAnsi="Times New Roman"/>
          <w:sz w:val="18"/>
          <w:szCs w:val="18"/>
        </w:rPr>
        <w:t xml:space="preserve">[7] Y. Gao, Y. Xiong, X. Gao, K. Jia, J. Pan, Y. Bi, Y. Dai, J. Sun, and H. Wang, "Retrieval-augmented generation for large language models: A survey," arXiv:2312.10997, 2023.</w:t>
      </w:r>
    </w:p>
    <w:p>
      <w:pPr>
        <w:spacing w:after="40" w:line="220"/>
        <w:ind w:left="360" w:hanging="360"/>
        <w:jc w:val="both"/>
      </w:pPr>
      <w:r>
        <w:rPr>
          <w:rFonts w:ascii="Times New Roman" w:cs="Times New Roman" w:eastAsia="Times New Roman" w:hAnsi="Times New Roman"/>
          <w:sz w:val="18"/>
          <w:szCs w:val="18"/>
        </w:rPr>
        <w:t xml:space="preserve">[8] S. Es, J. James, L. Espinosa-Anke, and S. Schockaert, "RAGAs: Automated evaluation of retrieval augmented generation," in Proc. 18th Conf. Eur. Chapter Assoc. Comput. Linguistics (EACL): System Demonstrations, 2024, pp. 150-158.</w:t>
      </w:r>
    </w:p>
    <w:p>
      <w:pPr>
        <w:spacing w:after="40" w:line="220"/>
        <w:ind w:left="360" w:hanging="360"/>
        <w:jc w:val="both"/>
      </w:pPr>
      <w:r>
        <w:rPr>
          <w:rFonts w:ascii="Times New Roman" w:cs="Times New Roman" w:eastAsia="Times New Roman" w:hAnsi="Times New Roman"/>
          <w:sz w:val="18"/>
          <w:szCs w:val="18"/>
        </w:rPr>
        <w:t xml:space="preserve">[9] Z. Ji, N. Lee, R. Frieske, T. Yu, D. Su, Y. Xu, E. Ishii, Y. J. Bang, A. Madotto, and P. Fung, "Survey of hallucination in natural language generation," ACM Comput. Surv., vol. 55, no. 12, pp. 1-38, 2023.</w:t>
      </w:r>
    </w:p>
    <w:p>
      <w:pPr>
        <w:spacing w:after="40" w:line="220"/>
        <w:ind w:left="360" w:hanging="360"/>
        <w:jc w:val="both"/>
      </w:pPr>
      <w:r>
        <w:rPr>
          <w:rFonts w:ascii="Times New Roman" w:cs="Times New Roman" w:eastAsia="Times New Roman" w:hAnsi="Times New Roman"/>
          <w:sz w:val="18"/>
          <w:szCs w:val="18"/>
        </w:rPr>
        <w:t xml:space="preserve">[10] P. Manakul, A. Liusie, and M. J. F. Gales, "SelfCheckGPT: Zero-resource black-box hallucination detection for generative large language models," in Proc. EMNLP, 2023, pp. 9004-9017.</w:t>
      </w:r>
    </w:p>
    <w:p>
      <w:pPr>
        <w:spacing w:after="40" w:line="220"/>
        <w:ind w:left="360" w:hanging="360"/>
        <w:jc w:val="both"/>
      </w:pPr>
      <w:r>
        <w:rPr>
          <w:rFonts w:ascii="Times New Roman" w:cs="Times New Roman" w:eastAsia="Times New Roman" w:hAnsi="Times New Roman"/>
          <w:sz w:val="18"/>
          <w:szCs w:val="18"/>
        </w:rPr>
        <w:t xml:space="preserve">[11] K. Cobbe, V. Kosaraju, M. Bavarian, M. Chen, H. Jun, L. Kaiser, M. Plappert, J. Tworek, J. Hilton, R. Nakano, C. Hesse, and J. Schulman, "Training verifiers to solve math word problems," arXiv:2110.14168, 2021.</w:t>
      </w:r>
    </w:p>
    <w:p>
      <w:pPr>
        <w:spacing w:after="40" w:line="220"/>
        <w:ind w:left="360" w:hanging="360"/>
        <w:jc w:val="both"/>
      </w:pPr>
      <w:r>
        <w:rPr>
          <w:rFonts w:ascii="Times New Roman" w:cs="Times New Roman" w:eastAsia="Times New Roman" w:hAnsi="Times New Roman"/>
          <w:sz w:val="18"/>
          <w:szCs w:val="18"/>
        </w:rPr>
        <w:t xml:space="preserve">[12] J. Wei, X. Wang, D. Schuurmans, M. Bosma, B. Ichter, F. Xia, E. Chi, Q. Le, and D. Zhou, "Chain-of-thought prompting elicits reasoning in large language models," in Proc. Adv. Neural Inf. Process. Syst. (NeurIPS), 2022, pp. 24824-24837.</w:t>
      </w:r>
    </w:p>
    <w:p>
      <w:pPr>
        <w:spacing w:after="40" w:line="220"/>
        <w:ind w:left="360" w:hanging="360"/>
        <w:jc w:val="both"/>
      </w:pPr>
      <w:r>
        <w:rPr>
          <w:rFonts w:ascii="Times New Roman" w:cs="Times New Roman" w:eastAsia="Times New Roman" w:hAnsi="Times New Roman"/>
          <w:sz w:val="18"/>
          <w:szCs w:val="18"/>
        </w:rPr>
        <w:t xml:space="preserve">[13] M. P. Naeini, G. F. Cooper, and M. Hauskrecht, "Obtaining well calibrated probabilities using Bayesian binning," in Proc. AAAI Conf. Artif. Intell., 2015, pp. 2901-2907.</w:t>
      </w:r>
    </w:p>
    <w:p>
      <w:pPr>
        <w:spacing w:after="40" w:line="220"/>
        <w:ind w:left="360" w:hanging="360"/>
        <w:jc w:val="both"/>
      </w:pPr>
      <w:r>
        <w:rPr>
          <w:rFonts w:ascii="Times New Roman" w:cs="Times New Roman" w:eastAsia="Times New Roman" w:hAnsi="Times New Roman"/>
          <w:sz w:val="18"/>
          <w:szCs w:val="18"/>
        </w:rPr>
        <w:t xml:space="preserve">[14] C. Guo, G. Pleiss, Y. Sun, and K. Q. Weinberger, "On calibration of modern neural networks," in Proc. 34th Int. Conf. Mach. Learn. (ICML), 2017, pp. 1321-1330.</w:t>
      </w:r>
    </w:p>
    <w:p>
      <w:pPr>
        <w:spacing w:after="40" w:line="220"/>
        <w:ind w:left="360" w:hanging="360"/>
        <w:jc w:val="both"/>
      </w:pPr>
      <w:r>
        <w:rPr>
          <w:rFonts w:ascii="Times New Roman" w:cs="Times New Roman" w:eastAsia="Times New Roman" w:hAnsi="Times New Roman"/>
          <w:sz w:val="18"/>
          <w:szCs w:val="18"/>
        </w:rPr>
        <w:t xml:space="preserve">[15] S. Kadavath, T. Conerly, A. Askell, T. Henighan, D. Drain, E. Perez, N. Schiefer, Z. Hatfield-Dodds, N. DasSarma, E. Tran-Johnson, et al., "Language models (mostly) know what they know," arXiv:2207.05221, 2022.</w:t>
      </w:r>
    </w:p>
    <w:p>
      <w:pPr>
        <w:spacing w:after="40" w:line="220"/>
        <w:ind w:left="360" w:hanging="360"/>
        <w:jc w:val="both"/>
      </w:pPr>
      <w:r>
        <w:rPr>
          <w:rFonts w:ascii="Times New Roman" w:cs="Times New Roman" w:eastAsia="Times New Roman" w:hAnsi="Times New Roman"/>
          <w:sz w:val="18"/>
          <w:szCs w:val="18"/>
        </w:rPr>
        <w:t xml:space="preserve">[16] N. Reimers and I. Gurevych, "Sentence-BERT: Sentence embeddings using Siamese BERT-networks," in Proc. EMNLP-IJCNLP, 2019, pp. 3982-3992.</w:t>
      </w:r>
    </w:p>
    <w:p>
      <w:pPr>
        <w:spacing w:after="40" w:line="220"/>
        <w:ind w:left="360" w:hanging="360"/>
        <w:jc w:val="both"/>
      </w:pPr>
      <w:r>
        <w:rPr>
          <w:rFonts w:ascii="Times New Roman" w:cs="Times New Roman" w:eastAsia="Times New Roman" w:hAnsi="Times New Roman"/>
          <w:sz w:val="18"/>
          <w:szCs w:val="18"/>
        </w:rPr>
        <w:t xml:space="preserve">[17] J. Johnson, M. Douze, and H. Jegou, "Billion-scale similarity search with GPUs," IEEE Trans. Big Data, vol. 7, no. 3, pp. 535-547, Jul. 2019.</w:t>
      </w:r>
    </w:p>
    <w:p>
      <w:pPr>
        <w:spacing w:after="40" w:line="220"/>
        <w:ind w:left="360" w:hanging="360"/>
        <w:jc w:val="both"/>
      </w:pPr>
      <w:r>
        <w:rPr>
          <w:rFonts w:ascii="Times New Roman" w:cs="Times New Roman" w:eastAsia="Times New Roman" w:hAnsi="Times New Roman"/>
          <w:sz w:val="18"/>
          <w:szCs w:val="18"/>
        </w:rPr>
        <w:t xml:space="preserve">[18] Qwen Team, "Qwen2.5 technical report," arXiv:2412.15115, 2024.</w:t>
      </w:r>
    </w:p>
    <w:p>
      <w:pPr>
        <w:spacing w:after="40" w:line="220"/>
        <w:ind w:left="360" w:hanging="360"/>
        <w:jc w:val="both"/>
      </w:pPr>
      <w:r>
        <w:rPr>
          <w:rFonts w:ascii="Times New Roman" w:cs="Times New Roman" w:eastAsia="Times New Roman" w:hAnsi="Times New Roman"/>
          <w:sz w:val="18"/>
          <w:szCs w:val="18"/>
        </w:rPr>
        <w:t xml:space="preserve">[19] T. Dettmers, A. Pagnoni, A. Holtzman, and L. Zettlemoyer, "QLoRA: Efficient finetuning of quantized LLMs," in Proc. Adv. Neural Inf. Process. Syst. (NeurIPS), 2023.</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2026-08-23T12:31:43.965Z</dcterms:created>
  <dcterms:modified xsi:type="dcterms:W3CDTF">2026-08-23T12:31:43.983Z</dcterms:modified>
</cp:coreProperties>
</file>

<file path=docProps/custom.xml><?xml version="1.0" encoding="utf-8"?>
<Properties xmlns="http://schemas.openxmlformats.org/officeDocument/2006/custom-properties" xmlns:vt="http://schemas.openxmlformats.org/officeDocument/2006/docPropsVTypes"/>
</file>