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300"/>
        <w:jc w:val="center"/>
      </w:pPr>
      <w:r>
        <w:rPr>
          <w:rFonts w:ascii="Calibri" w:cs="Calibri" w:eastAsia="Calibri" w:hAnsi="Calibri"/>
          <w:b/>
          <w:bCs/>
          <w:color w:val="1F3864"/>
          <w:sz w:val="52"/>
          <w:szCs w:val="52"/>
        </w:rPr>
        <w:t xml:space="preserve">Supporting Evidence Document</w:t>
      </w:r>
    </w:p>
    <w:p>
      <w:pPr>
        <w:spacing w:after="400"/>
        <w:jc w:val="center"/>
      </w:pPr>
      <w:r>
        <w:rPr>
          <w:rFonts w:ascii="Calibri" w:cs="Calibri" w:eastAsia="Calibri" w:hAnsi="Calibri"/>
          <w:color w:val="404040"/>
          <w:sz w:val="28"/>
          <w:szCs w:val="28"/>
        </w:rPr>
        <w:t xml:space="preserve">A Numerical Reliability Framework for Retrieval-Augmented Financial Question Answering</w:t>
      </w:r>
    </w:p>
    <w:p>
      <w:pPr>
        <w:spacing w:after="60" w:line="276"/>
        <w:jc w:val="center"/>
      </w:pPr>
      <w:r>
        <w:rPr>
          <w:rFonts w:ascii="Calibri" w:cs="Calibri" w:eastAsia="Calibri" w:hAnsi="Calibri"/>
          <w:b/>
          <w:bCs/>
          <w:sz w:val="24"/>
          <w:szCs w:val="24"/>
        </w:rPr>
        <w:t xml:space="preserve">Aaron Prakash Gandi</w:t>
      </w:r>
    </w:p>
    <w:p>
      <w:pPr>
        <w:spacing w:after="60" w:line="276"/>
        <w:jc w:val="center"/>
      </w:pPr>
      <w:r>
        <w:rPr>
          <w:rFonts w:ascii="Calibri" w:cs="Calibri" w:eastAsia="Calibri" w:hAnsi="Calibri"/>
          <w:sz w:val="22"/>
          <w:szCs w:val="22"/>
        </w:rPr>
        <w:t xml:space="preserve">B01043066</w:t>
      </w:r>
    </w:p>
    <w:p>
      <w:pPr>
        <w:spacing w:after="60" w:line="276"/>
        <w:jc w:val="center"/>
      </w:pPr>
      <w:r>
        <w:rPr>
          <w:rFonts w:ascii="Calibri" w:cs="Calibri" w:eastAsia="Calibri" w:hAnsi="Calibri"/>
          <w:sz w:val="22"/>
          <w:szCs w:val="22"/>
        </w:rPr>
        <w:t xml:space="preserve">School of Computing, Ulster University</w:t>
      </w:r>
    </w:p>
    <w:p>
      <w:pPr>
        <w:spacing w:after="400" w:line="276"/>
        <w:jc w:val="center"/>
      </w:pPr>
      <w:r>
        <w:rPr>
          <w:rFonts w:ascii="Calibri" w:cs="Calibri" w:eastAsia="Calibri" w:hAnsi="Calibri"/>
          <w:sz w:val="22"/>
          <w:szCs w:val="22"/>
        </w:rPr>
        <w:t xml:space="preserve">Supervisor: Dr. Tazar Hussain</w:t>
      </w:r>
    </w:p>
    <w:p>
      <w:pPr>
        <w:spacing w:after="120" w:line="276"/>
        <w:jc w:val="center"/>
      </w:pPr>
      <w:r>
        <w:rPr>
          <w:rFonts w:ascii="Calibri" w:cs="Calibri" w:eastAsia="Calibri" w:hAnsi="Calibri"/>
          <w:i/>
          <w:iCs/>
          <w:color w:val="595959"/>
          <w:sz w:val="22"/>
          <w:szCs w:val="22"/>
        </w:rPr>
        <w:t xml:space="preserve">This document supplies the evidence underlying every claim in the accompanying report: the continuity between this work and the preceding research design, complete metric tables, the defect audit with the measurements that identified each defect, the full error taxonomy with named benchmark items, statistical intervals, limitations and reproduction instructions. Every figure is traceable to a recorded run of the final audited codebase.</w:t>
      </w:r>
    </w:p>
    <w:p>
      <w:r>
        <w:br w:type="page"/>
      </w:r>
    </w:p>
    <w:p>
      <w:pPr>
        <w:pStyle w:val="Heading1"/>
        <w:spacing w:after="140" w:before="320"/>
      </w:pPr>
      <w:r>
        <w:rPr>
          <w:rFonts w:ascii="Calibri" w:cs="Calibri" w:eastAsia="Calibri" w:hAnsi="Calibri"/>
          <w:b/>
          <w:bCs/>
          <w:color w:val="1F3864"/>
          <w:sz w:val="32"/>
          <w:szCs w:val="32"/>
        </w:rPr>
        <w:t xml:space="preserve">1. Continuity with the Preceding Research</w:t>
      </w:r>
    </w:p>
    <w:p>
      <w:pPr>
        <w:spacing w:after="120" w:line="276"/>
        <w:jc w:val="both"/>
      </w:pPr>
      <w:r>
        <w:rPr>
          <w:rFonts w:ascii="Calibri" w:cs="Calibri" w:eastAsia="Calibri" w:hAnsi="Calibri"/>
          <w:sz w:val="22"/>
          <w:szCs w:val="22"/>
        </w:rPr>
        <w:t xml:space="preserve">This dissertation follows two earlier submissions: a project proposal and a research design document. The design document identified the problem, analysed a primary reference work, established a research gap and proposed a five-stage framework. This section records what was carried forward, what was implemented, and what was not, so that the relationship between the proposal and the delivered artefact is explicit rather than assumed.</w:t>
      </w:r>
    </w:p>
    <w:p>
      <w:pPr>
        <w:pStyle w:val="Heading2"/>
        <w:spacing w:after="100" w:before="240"/>
      </w:pPr>
      <w:r>
        <w:rPr>
          <w:rFonts w:ascii="Calibri" w:cs="Calibri" w:eastAsia="Calibri" w:hAnsi="Calibri"/>
          <w:b/>
          <w:bCs/>
          <w:color w:val="2E5496"/>
          <w:sz w:val="26"/>
          <w:szCs w:val="26"/>
        </w:rPr>
        <w:t xml:space="preserve">1.1 The problem as originally framed</w:t>
      </w:r>
    </w:p>
    <w:p>
      <w:pPr>
        <w:spacing w:after="120" w:line="276"/>
        <w:jc w:val="both"/>
      </w:pPr>
      <w:r>
        <w:rPr>
          <w:rFonts w:ascii="Calibri" w:cs="Calibri" w:eastAsia="Calibri" w:hAnsi="Calibri"/>
          <w:sz w:val="22"/>
          <w:szCs w:val="22"/>
        </w:rPr>
        <w:t xml:space="preserve">The design document argued that retrieval-augmented systems in finance are limited less by linguistic capability than by numerical hallucination, defined as the generation of plausible but factually incorrect numerical data. It stressed that in financial contexts precision is a regulatory and risk-management requirement rather than a performance statistic, and that large language models are optimised for linguistic coherence rather than arithmetic exactness. That framing is preserved unchanged here and is what motivates measuring reliability across several dimensions instead of reporting accuracy alone.</w:t>
      </w:r>
    </w:p>
    <w:p>
      <w:pPr>
        <w:pStyle w:val="Heading2"/>
        <w:spacing w:after="100" w:before="240"/>
      </w:pPr>
      <w:r>
        <w:rPr>
          <w:rFonts w:ascii="Calibri" w:cs="Calibri" w:eastAsia="Calibri" w:hAnsi="Calibri"/>
          <w:b/>
          <w:bCs/>
          <w:color w:val="2E5496"/>
          <w:sz w:val="26"/>
          <w:szCs w:val="26"/>
        </w:rPr>
        <w:t xml:space="preserve">1.2 Critical analysis of the primary reference</w:t>
      </w:r>
    </w:p>
    <w:p>
      <w:pPr>
        <w:spacing w:after="120" w:line="276"/>
        <w:jc w:val="both"/>
      </w:pPr>
      <w:r>
        <w:rPr>
          <w:rFonts w:ascii="Calibri" w:cs="Calibri" w:eastAsia="Calibri" w:hAnsi="Calibri"/>
          <w:sz w:val="22"/>
          <w:szCs w:val="22"/>
        </w:rPr>
        <w:t xml:space="preserve">The design document took as its primary reference a data-centric approach to numerical hallucination in online financial question answering, referred to throughout as DCRC. That analysis identified four pathologies of numerical reasoning in large language models:</w:t>
      </w:r>
    </w:p>
    <w:p>
      <w:pPr>
        <w:pStyle w:val="ListParagraph"/>
        <w:numPr>
          <w:ilvl w:val="0"/>
          <w:numId w:val="2"/>
        </w:numPr>
        <w:spacing w:after="60" w:line="276"/>
      </w:pPr>
      <w:r>
        <w:rPr>
          <w:rFonts w:ascii="Calibri" w:cs="Calibri" w:eastAsia="Calibri" w:hAnsi="Calibri"/>
          <w:sz w:val="22"/>
          <w:szCs w:val="22"/>
        </w:rPr>
        <w:t xml:space="preserve">Numerical hallucination, the generation of figures not supported by the source.</w:t>
      </w:r>
    </w:p>
    <w:p>
      <w:pPr>
        <w:pStyle w:val="ListParagraph"/>
        <w:numPr>
          <w:ilvl w:val="0"/>
          <w:numId w:val="2"/>
        </w:numPr>
        <w:spacing w:after="60" w:line="276"/>
      </w:pPr>
      <w:r>
        <w:rPr>
          <w:rFonts w:ascii="Calibri" w:cs="Calibri" w:eastAsia="Calibri" w:hAnsi="Calibri"/>
          <w:sz w:val="22"/>
          <w:szCs w:val="22"/>
        </w:rPr>
        <w:t xml:space="preserve">Noise sensitivity, degradation when irrelevant numerical content enters the context.</w:t>
      </w:r>
    </w:p>
    <w:p>
      <w:pPr>
        <w:pStyle w:val="ListParagraph"/>
        <w:numPr>
          <w:ilvl w:val="0"/>
          <w:numId w:val="2"/>
        </w:numPr>
        <w:spacing w:after="60" w:line="276"/>
      </w:pPr>
      <w:r>
        <w:rPr>
          <w:rFonts w:ascii="Calibri" w:cs="Calibri" w:eastAsia="Calibri" w:hAnsi="Calibri"/>
          <w:sz w:val="22"/>
          <w:szCs w:val="22"/>
        </w:rPr>
        <w:t xml:space="preserve">Calculation fragility, arithmetic error during multi-step reasoning.</w:t>
      </w:r>
    </w:p>
    <w:p>
      <w:pPr>
        <w:pStyle w:val="ListParagraph"/>
        <w:numPr>
          <w:ilvl w:val="0"/>
          <w:numId w:val="2"/>
        </w:numPr>
        <w:spacing w:after="60" w:line="276"/>
      </w:pPr>
      <w:r>
        <w:rPr>
          <w:rFonts w:ascii="Calibri" w:cs="Calibri" w:eastAsia="Calibri" w:hAnsi="Calibri"/>
          <w:sz w:val="22"/>
          <w:szCs w:val="22"/>
        </w:rPr>
        <w:t xml:space="preserve">The auditability crisis, the absence of transparency in how a numerical conclusion was reached.</w:t>
      </w:r>
    </w:p>
    <w:p>
      <w:pPr>
        <w:spacing w:after="120" w:line="276"/>
        <w:jc w:val="both"/>
      </w:pPr>
      <w:r>
        <w:rPr>
          <w:rFonts w:ascii="Calibri" w:cs="Calibri" w:eastAsia="Calibri" w:hAnsi="Calibri"/>
          <w:sz w:val="22"/>
          <w:szCs w:val="22"/>
        </w:rPr>
        <w:t xml:space="preserve">DCRC addresses these through adversarial data construction, hard negative injection, heterogeneous consensus mining, supervised fine-tuning and reinforcement learning with group relative policy optimisation. The design document assessed that it substantially solves calculation fragility through deterministic execution and improves noise robustness through adversarial training, while partially addressing auditability by emitting symbolic reasoning traces.</w:t>
      </w:r>
    </w:p>
    <w:p>
      <w:pPr>
        <w:pStyle w:val="Heading2"/>
        <w:spacing w:after="100" w:before="240"/>
      </w:pPr>
      <w:r>
        <w:rPr>
          <w:rFonts w:ascii="Calibri" w:cs="Calibri" w:eastAsia="Calibri" w:hAnsi="Calibri"/>
          <w:b/>
          <w:bCs/>
          <w:color w:val="2E5496"/>
          <w:sz w:val="26"/>
          <w:szCs w:val="26"/>
        </w:rPr>
        <w:t xml:space="preserve">1.3 The research gap and how this work addresses it</w:t>
      </w:r>
    </w:p>
    <w:p>
      <w:pPr>
        <w:spacing w:after="120" w:line="276"/>
        <w:jc w:val="both"/>
      </w:pPr>
      <w:r>
        <w:rPr>
          <w:rFonts w:ascii="Calibri" w:cs="Calibri" w:eastAsia="Calibri" w:hAnsi="Calibri"/>
          <w:sz w:val="22"/>
          <w:szCs w:val="22"/>
        </w:rPr>
        <w:t xml:space="preserve">The gap identified was that DCRC improves the quality of numerical reasoning without providing any means of measuring how reliable that reasoning is. Four mechanisms were named as absent. Table 1 records how each was treated in the delivered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2860"/>
      </w:tblGrid>
      <w:tr>
        <w:trPr>
          <w:tblHeader/>
        </w:trPr>
        <w:tc>
          <w:tcPr>
            <w:tcW w:type="dxa" w:w="33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Mechanism identified as absent</w:t>
            </w:r>
          </w:p>
        </w:tc>
        <w:tc>
          <w:tcPr>
            <w:tcW w:type="dxa" w:w="32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Status in this work</w:t>
            </w:r>
          </w:p>
        </w:tc>
        <w:tc>
          <w:tcPr>
            <w:tcW w:type="dxa" w:w="28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Where evidenced</w:t>
            </w:r>
          </w:p>
        </w:tc>
      </w:tr>
      <w:tr>
        <w:tc>
          <w:tcPr>
            <w:tcW w:type="dxa" w:w="3300"/>
            <w:tcMar>
              <w:top w:type="dxa" w:w="50"/>
              <w:left w:type="dxa" w:w="90"/>
              <w:bottom w:type="dxa" w:w="50"/>
              <w:right w:type="dxa" w:w="90"/>
            </w:tcMar>
          </w:tcPr>
          <w:p>
            <w:pPr>
              <w:spacing w:after="0" w:line="250"/>
              <w:jc w:val="left"/>
            </w:pPr>
            <w:r>
              <w:rPr>
                <w:rFonts w:ascii="Calibri" w:cs="Calibri" w:eastAsia="Calibri" w:hAnsi="Calibri"/>
                <w:sz w:val="19"/>
                <w:szCs w:val="19"/>
              </w:rPr>
              <w:t xml:space="preserve">Quantifying faithfulness of the reasoning chain to source evidence</w:t>
            </w:r>
          </w:p>
        </w:tc>
        <w:tc>
          <w:tcPr>
            <w:tcW w:type="dxa" w:w="3200"/>
            <w:tcMar>
              <w:top w:type="dxa" w:w="50"/>
              <w:left w:type="dxa" w:w="90"/>
              <w:bottom w:type="dxa" w:w="50"/>
              <w:right w:type="dxa" w:w="90"/>
            </w:tcMar>
          </w:tcPr>
          <w:p>
            <w:pPr>
              <w:spacing w:after="0" w:line="250"/>
              <w:jc w:val="center"/>
            </w:pPr>
            <w:r>
              <w:rPr>
                <w:rFonts w:ascii="Calibri" w:cs="Calibri" w:eastAsia="Calibri" w:hAnsi="Calibri"/>
                <w:sz w:val="19"/>
                <w:szCs w:val="19"/>
              </w:rPr>
              <w:t xml:space="preserve">Implemented as the Numerical Evidence Support Score, in strict and revised forms</w:t>
            </w:r>
          </w:p>
        </w:tc>
        <w:tc>
          <w:tcPr>
            <w:tcW w:type="dxa" w:w="2860"/>
            <w:tcMar>
              <w:top w:type="dxa" w:w="50"/>
              <w:left w:type="dxa" w:w="90"/>
              <w:bottom w:type="dxa" w:w="50"/>
              <w:right w:type="dxa" w:w="90"/>
            </w:tcMar>
          </w:tcPr>
          <w:p>
            <w:pPr>
              <w:spacing w:after="0" w:line="250"/>
              <w:jc w:val="center"/>
            </w:pPr>
            <w:r>
              <w:rPr>
                <w:rFonts w:ascii="Calibri" w:cs="Calibri" w:eastAsia="Calibri" w:hAnsi="Calibri"/>
                <w:sz w:val="19"/>
                <w:szCs w:val="19"/>
              </w:rPr>
              <w:t xml:space="preserve">Sections 3 and 4 of this document</w:t>
            </w:r>
          </w:p>
        </w:tc>
      </w:tr>
      <w:tr>
        <w:tc>
          <w:tcPr>
            <w:tcW w:type="dxa" w:w="33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Calibrating model confidence in numerical outputs</w:t>
            </w:r>
          </w:p>
        </w:tc>
        <w:tc>
          <w:tcPr>
            <w:tcW w:type="dxa" w:w="32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Implemented as expected calibration error over self-reported confidence; the system was measured and found severely uncalibrated</w:t>
            </w:r>
          </w:p>
        </w:tc>
        <w:tc>
          <w:tcPr>
            <w:tcW w:type="dxa" w:w="28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Experiment 3</w:t>
            </w:r>
          </w:p>
        </w:tc>
      </w:tr>
      <w:tr>
        <w:tc>
          <w:tcPr>
            <w:tcW w:type="dxa" w:w="3300"/>
            <w:tcMar>
              <w:top w:type="dxa" w:w="50"/>
              <w:left w:type="dxa" w:w="90"/>
              <w:bottom w:type="dxa" w:w="50"/>
              <w:right w:type="dxa" w:w="90"/>
            </w:tcMar>
          </w:tcPr>
          <w:p>
            <w:pPr>
              <w:spacing w:after="0" w:line="250"/>
              <w:jc w:val="left"/>
            </w:pPr>
            <w:r>
              <w:rPr>
                <w:rFonts w:ascii="Calibri" w:cs="Calibri" w:eastAsia="Calibri" w:hAnsi="Calibri"/>
                <w:sz w:val="19"/>
                <w:szCs w:val="19"/>
              </w:rPr>
              <w:t xml:space="preserve">Detecting hallucination independently of the generation process</w:t>
            </w:r>
          </w:p>
        </w:tc>
        <w:tc>
          <w:tcPr>
            <w:tcW w:type="dxa" w:w="3200"/>
            <w:tcMar>
              <w:top w:type="dxa" w:w="50"/>
              <w:left w:type="dxa" w:w="90"/>
              <w:bottom w:type="dxa" w:w="50"/>
              <w:right w:type="dxa" w:w="90"/>
            </w:tcMar>
          </w:tcPr>
          <w:p>
            <w:pPr>
              <w:spacing w:after="0" w:line="250"/>
              <w:jc w:val="center"/>
            </w:pPr>
            <w:r>
              <w:rPr>
                <w:rFonts w:ascii="Calibri" w:cs="Calibri" w:eastAsia="Calibri" w:hAnsi="Calibri"/>
                <w:sz w:val="19"/>
                <w:szCs w:val="19"/>
              </w:rPr>
              <w:t xml:space="preserve">Implemented as a NESS-threshold detector plus a gold-free post-hoc arithmetic verifier that never consults a reference answer</w:t>
            </w:r>
          </w:p>
        </w:tc>
        <w:tc>
          <w:tcPr>
            <w:tcW w:type="dxa" w:w="2860"/>
            <w:tcMar>
              <w:top w:type="dxa" w:w="50"/>
              <w:left w:type="dxa" w:w="90"/>
              <w:bottom w:type="dxa" w:w="50"/>
              <w:right w:type="dxa" w:w="90"/>
            </w:tcMar>
          </w:tcPr>
          <w:p>
            <w:pPr>
              <w:spacing w:after="0" w:line="250"/>
              <w:jc w:val="center"/>
            </w:pPr>
            <w:r>
              <w:rPr>
                <w:rFonts w:ascii="Calibri" w:cs="Calibri" w:eastAsia="Calibri" w:hAnsi="Calibri"/>
                <w:sz w:val="19"/>
                <w:szCs w:val="19"/>
              </w:rPr>
              <w:t xml:space="preserve">Experiments 2 and 5</w:t>
            </w:r>
          </w:p>
        </w:tc>
      </w:tr>
      <w:tr>
        <w:tc>
          <w:tcPr>
            <w:tcW w:type="dxa" w:w="33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Assessing consistency across varied linguistic expressions of the same numerical intent</w:t>
            </w:r>
          </w:p>
        </w:tc>
        <w:tc>
          <w:tcPr>
            <w:tcW w:type="dxa" w:w="32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Not implemented. Reported as outstanding and carried into future work rather than quietly dropped</w:t>
            </w:r>
          </w:p>
        </w:tc>
        <w:tc>
          <w:tcPr>
            <w:tcW w:type="dxa" w:w="28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Section 8</w:t>
            </w:r>
          </w:p>
        </w:tc>
      </w:tr>
    </w:tbl>
    <w:p>
      <w:pPr>
        <w:spacing w:after="120" w:line="276"/>
        <w:jc w:val="both"/>
      </w:pPr>
      <w:r>
        <w:rPr>
          <w:rFonts w:ascii="Calibri" w:cs="Calibri" w:eastAsia="Calibri" w:hAnsi="Calibri"/>
          <w:sz w:val="22"/>
          <w:szCs w:val="22"/>
        </w:rPr>
        <w:t xml:space="preserve">Three of the four mechanisms were delivered and empirically exercised. The fourth was not attempted, and this is stated plainly. A framework that claimed completeness it did not possess would be a poorer contribution than one that reports its own boundary.</w:t>
      </w:r>
    </w:p>
    <w:p>
      <w:pPr>
        <w:pStyle w:val="Heading2"/>
        <w:spacing w:after="100" w:before="240"/>
      </w:pPr>
      <w:r>
        <w:rPr>
          <w:rFonts w:ascii="Calibri" w:cs="Calibri" w:eastAsia="Calibri" w:hAnsi="Calibri"/>
          <w:b/>
          <w:bCs/>
          <w:color w:val="2E5496"/>
          <w:sz w:val="26"/>
          <w:szCs w:val="26"/>
        </w:rPr>
        <w:t xml:space="preserve">1.4 Mapping the proposed five-stage design onto what was built</w:t>
      </w:r>
    </w:p>
    <w:p>
      <w:pPr>
        <w:spacing w:after="120" w:line="276"/>
        <w:jc w:val="both"/>
      </w:pPr>
      <w:r>
        <w:rPr>
          <w:rFonts w:ascii="Calibri" w:cs="Calibri" w:eastAsia="Calibri" w:hAnsi="Calibri"/>
          <w:sz w:val="22"/>
          <w:szCs w:val="22"/>
        </w:rPr>
        <w:t xml:space="preserve">The design document proposed a five-stage pipeline. The delivered system implements two of those stages fully and does not implement three. Table 2 records this honestly, since scope reduction under a hardware and time constraint is a legitimate outcome provided it is declared.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Proposed stage</w:t>
            </w:r>
          </w:p>
        </w:tc>
        <w:tc>
          <w:tcPr>
            <w:tcW w:type="dxa" w:w="11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Delivered?</w:t>
            </w:r>
          </w:p>
        </w:tc>
        <w:tc>
          <w:tcPr>
            <w:tcW w:type="dxa" w:w="48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Comment</w:t>
            </w:r>
          </w:p>
        </w:tc>
      </w:tr>
      <w:tr>
        <w:tc>
          <w:tcPr>
            <w:tcW w:type="dxa" w:w="3400"/>
            <w:tcMar>
              <w:top w:type="dxa" w:w="50"/>
              <w:left w:type="dxa" w:w="90"/>
              <w:bottom w:type="dxa" w:w="50"/>
              <w:right w:type="dxa" w:w="90"/>
            </w:tcMar>
          </w:tcPr>
          <w:p>
            <w:pPr>
              <w:spacing w:after="0" w:line="250"/>
              <w:jc w:val="left"/>
            </w:pPr>
            <w:r>
              <w:rPr>
                <w:rFonts w:ascii="Calibri" w:cs="Calibri" w:eastAsia="Calibri" w:hAnsi="Calibri"/>
                <w:sz w:val="19"/>
                <w:szCs w:val="19"/>
              </w:rPr>
              <w:t xml:space="preserve">1. Financial query profiling and numerical intent classification</w:t>
            </w:r>
          </w:p>
        </w:tc>
        <w:tc>
          <w:tcPr>
            <w:tcW w:type="dxa" w:w="1100"/>
            <w:tcMar>
              <w:top w:type="dxa" w:w="50"/>
              <w:left w:type="dxa" w:w="90"/>
              <w:bottom w:type="dxa" w:w="50"/>
              <w:right w:type="dxa" w:w="90"/>
            </w:tcMar>
          </w:tcPr>
          <w:p>
            <w:pPr>
              <w:spacing w:after="0" w:line="250"/>
              <w:jc w:val="center"/>
            </w:pPr>
            <w:r>
              <w:rPr>
                <w:rFonts w:ascii="Calibri" w:cs="Calibri" w:eastAsia="Calibri" w:hAnsi="Calibri"/>
                <w:sz w:val="19"/>
                <w:szCs w:val="19"/>
              </w:rPr>
              <w:t xml:space="preserve">No</w:t>
            </w:r>
          </w:p>
        </w:tc>
        <w:tc>
          <w:tcPr>
            <w:tcW w:type="dxa" w:w="4860"/>
            <w:tcMar>
              <w:top w:type="dxa" w:w="50"/>
              <w:left w:type="dxa" w:w="90"/>
              <w:bottom w:type="dxa" w:w="50"/>
              <w:right w:type="dxa" w:w="90"/>
            </w:tcMar>
          </w:tcPr>
          <w:p>
            <w:pPr>
              <w:spacing w:after="0" w:line="250"/>
              <w:jc w:val="center"/>
            </w:pPr>
            <w:r>
              <w:rPr>
                <w:rFonts w:ascii="Calibri" w:cs="Calibri" w:eastAsia="Calibri" w:hAnsi="Calibri"/>
                <w:sz w:val="19"/>
                <w:szCs w:val="19"/>
              </w:rPr>
              <w:t xml:space="preserve">Retrieval operates directly on the raw question. Intent classification was not built.</w:t>
            </w:r>
          </w:p>
        </w:tc>
      </w:tr>
      <w:tr>
        <w:tc>
          <w:tcPr>
            <w:tcW w:type="dxa" w:w="34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2. Reliability-aware context validation and consistency analysis</w:t>
            </w:r>
          </w:p>
        </w:tc>
        <w:tc>
          <w:tcPr>
            <w:tcW w:type="dxa" w:w="11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No</w:t>
            </w:r>
          </w:p>
        </w:tc>
        <w:tc>
          <w:tcPr>
            <w:tcW w:type="dxa" w:w="48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No consistency alert mechanism for conflicting restated values was implemented.</w:t>
            </w:r>
          </w:p>
        </w:tc>
      </w:tr>
      <w:tr>
        <w:tc>
          <w:tcPr>
            <w:tcW w:type="dxa" w:w="3400"/>
            <w:tcMar>
              <w:top w:type="dxa" w:w="50"/>
              <w:left w:type="dxa" w:w="90"/>
              <w:bottom w:type="dxa" w:w="50"/>
              <w:right w:type="dxa" w:w="90"/>
            </w:tcMar>
          </w:tcPr>
          <w:p>
            <w:pPr>
              <w:spacing w:after="0" w:line="250"/>
              <w:jc w:val="left"/>
            </w:pPr>
            <w:r>
              <w:rPr>
                <w:rFonts w:ascii="Calibri" w:cs="Calibri" w:eastAsia="Calibri" w:hAnsi="Calibri"/>
                <w:sz w:val="19"/>
                <w:szCs w:val="19"/>
              </w:rPr>
              <w:t xml:space="preserve">3. Numerical dependency graph construction</w:t>
            </w:r>
          </w:p>
        </w:tc>
        <w:tc>
          <w:tcPr>
            <w:tcW w:type="dxa" w:w="1100"/>
            <w:tcMar>
              <w:top w:type="dxa" w:w="50"/>
              <w:left w:type="dxa" w:w="90"/>
              <w:bottom w:type="dxa" w:w="50"/>
              <w:right w:type="dxa" w:w="90"/>
            </w:tcMar>
          </w:tcPr>
          <w:p>
            <w:pPr>
              <w:spacing w:after="0" w:line="250"/>
              <w:jc w:val="center"/>
            </w:pPr>
            <w:r>
              <w:rPr>
                <w:rFonts w:ascii="Calibri" w:cs="Calibri" w:eastAsia="Calibri" w:hAnsi="Calibri"/>
                <w:sz w:val="19"/>
                <w:szCs w:val="19"/>
              </w:rPr>
              <w:t xml:space="preserve">No</w:t>
            </w:r>
          </w:p>
        </w:tc>
        <w:tc>
          <w:tcPr>
            <w:tcW w:type="dxa" w:w="4860"/>
            <w:tcMar>
              <w:top w:type="dxa" w:w="50"/>
              <w:left w:type="dxa" w:w="90"/>
              <w:bottom w:type="dxa" w:w="50"/>
              <w:right w:type="dxa" w:w="90"/>
            </w:tcMar>
          </w:tcPr>
          <w:p>
            <w:pPr>
              <w:spacing w:after="0" w:line="250"/>
              <w:jc w:val="center"/>
            </w:pPr>
            <w:r>
              <w:rPr>
                <w:rFonts w:ascii="Calibri" w:cs="Calibri" w:eastAsia="Calibri" w:hAnsi="Calibri"/>
                <w:sz w:val="19"/>
                <w:szCs w:val="19"/>
              </w:rPr>
              <w:t xml:space="preserve">Not implemented. The verifier instead checks the model’s own stated expression post hoc.</w:t>
            </w:r>
          </w:p>
        </w:tc>
      </w:tr>
      <w:tr>
        <w:tc>
          <w:tcPr>
            <w:tcW w:type="dxa" w:w="34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4. Multi-layer reasoning and cross-verification</w:t>
            </w:r>
          </w:p>
        </w:tc>
        <w:tc>
          <w:tcPr>
            <w:tcW w:type="dxa" w:w="11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Yes</w:t>
            </w:r>
          </w:p>
        </w:tc>
        <w:tc>
          <w:tcPr>
            <w:tcW w:type="dxa" w:w="48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Delivered as the gold-free post-hoc arithmetic verifier with one corrective retry.</w:t>
            </w:r>
          </w:p>
        </w:tc>
      </w:tr>
      <w:tr>
        <w:tc>
          <w:tcPr>
            <w:tcW w:type="dxa" w:w="3400"/>
            <w:tcMar>
              <w:top w:type="dxa" w:w="50"/>
              <w:left w:type="dxa" w:w="90"/>
              <w:bottom w:type="dxa" w:w="50"/>
              <w:right w:type="dxa" w:w="90"/>
            </w:tcMar>
          </w:tcPr>
          <w:p>
            <w:pPr>
              <w:spacing w:after="0" w:line="250"/>
              <w:jc w:val="left"/>
            </w:pPr>
            <w:r>
              <w:rPr>
                <w:rFonts w:ascii="Calibri" w:cs="Calibri" w:eastAsia="Calibri" w:hAnsi="Calibri"/>
                <w:sz w:val="19"/>
                <w:szCs w:val="19"/>
              </w:rPr>
              <w:t xml:space="preserve">5. Confidence calibration and reliability assessment</w:t>
            </w:r>
          </w:p>
        </w:tc>
        <w:tc>
          <w:tcPr>
            <w:tcW w:type="dxa" w:w="1100"/>
            <w:tcMar>
              <w:top w:type="dxa" w:w="50"/>
              <w:left w:type="dxa" w:w="90"/>
              <w:bottom w:type="dxa" w:w="50"/>
              <w:right w:type="dxa" w:w="90"/>
            </w:tcMar>
          </w:tcPr>
          <w:p>
            <w:pPr>
              <w:spacing w:after="0" w:line="250"/>
              <w:jc w:val="center"/>
            </w:pPr>
            <w:r>
              <w:rPr>
                <w:rFonts w:ascii="Calibri" w:cs="Calibri" w:eastAsia="Calibri" w:hAnsi="Calibri"/>
                <w:sz w:val="19"/>
                <w:szCs w:val="19"/>
              </w:rPr>
              <w:t xml:space="preserve">Yes</w:t>
            </w:r>
          </w:p>
        </w:tc>
        <w:tc>
          <w:tcPr>
            <w:tcW w:type="dxa" w:w="4860"/>
            <w:tcMar>
              <w:top w:type="dxa" w:w="50"/>
              <w:left w:type="dxa" w:w="90"/>
              <w:bottom w:type="dxa" w:w="50"/>
              <w:right w:type="dxa" w:w="90"/>
            </w:tcMar>
          </w:tcPr>
          <w:p>
            <w:pPr>
              <w:spacing w:after="0" w:line="250"/>
              <w:jc w:val="center"/>
            </w:pPr>
            <w:r>
              <w:rPr>
                <w:rFonts w:ascii="Calibri" w:cs="Calibri" w:eastAsia="Calibri" w:hAnsi="Calibri"/>
                <w:sz w:val="19"/>
                <w:szCs w:val="19"/>
              </w:rPr>
              <w:t xml:space="preserve">Delivered as ECE over self-reported confidence and the composite reliability score.</w:t>
            </w:r>
          </w:p>
        </w:tc>
      </w:tr>
    </w:tbl>
    <w:p>
      <w:pPr>
        <w:spacing w:after="120" w:line="276"/>
        <w:jc w:val="both"/>
      </w:pPr>
      <w:r>
        <w:rPr>
          <w:rFonts w:ascii="Calibri" w:cs="Calibri" w:eastAsia="Calibri" w:hAnsi="Calibri"/>
          <w:sz w:val="22"/>
          <w:szCs w:val="22"/>
        </w:rPr>
        <w:t xml:space="preserve">The two delivered stages are precisely those that the evaluation then subjected to scrutiny, and stage five is the one this work ultimately reports as unsuccessful in its composite form. That outcome is discussed in Section 5.</w:t>
      </w:r>
    </w:p>
    <w:p>
      <w:r>
        <w:br w:type="page"/>
      </w:r>
    </w:p>
    <w:p>
      <w:pPr>
        <w:pStyle w:val="Heading1"/>
        <w:spacing w:after="140" w:before="320"/>
      </w:pPr>
      <w:r>
        <w:rPr>
          <w:rFonts w:ascii="Calibri" w:cs="Calibri" w:eastAsia="Calibri" w:hAnsi="Calibri"/>
          <w:b/>
          <w:bCs/>
          <w:color w:val="1F3864"/>
          <w:sz w:val="32"/>
          <w:szCs w:val="32"/>
        </w:rPr>
        <w:t xml:space="preserve">2. Experimental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Component</w:t>
            </w:r>
          </w:p>
        </w:tc>
        <w:tc>
          <w:tcPr>
            <w:tcW w:type="dxa" w:w="64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Setting</w:t>
            </w:r>
          </w:p>
        </w:tc>
      </w:tr>
      <w:tr>
        <w:tc>
          <w:tcPr>
            <w:tcW w:type="dxa" w:w="2900"/>
            <w:tcMar>
              <w:top w:type="dxa" w:w="50"/>
              <w:left w:type="dxa" w:w="90"/>
              <w:bottom w:type="dxa" w:w="50"/>
              <w:right w:type="dxa" w:w="90"/>
            </w:tcMar>
          </w:tcPr>
          <w:p>
            <w:pPr>
              <w:spacing w:after="0" w:line="250"/>
              <w:jc w:val="left"/>
            </w:pPr>
            <w:r>
              <w:rPr>
                <w:rFonts w:ascii="Calibri" w:cs="Calibri" w:eastAsia="Calibri" w:hAnsi="Calibri"/>
                <w:sz w:val="19"/>
                <w:szCs w:val="19"/>
              </w:rPr>
              <w:t xml:space="preserve">Generator</w:t>
            </w:r>
          </w:p>
        </w:tc>
        <w:tc>
          <w:tcPr>
            <w:tcW w:type="dxa" w:w="6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Qwen2.5-3B-Instruct, 4-bit NF4, double quantisation</w:t>
            </w:r>
          </w:p>
        </w:tc>
      </w:tr>
      <w:tr>
        <w:tc>
          <w:tcPr>
            <w:tcW w:type="dxa" w:w="2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Fallback generator</w:t>
            </w:r>
          </w:p>
        </w:tc>
        <w:tc>
          <w:tcPr>
            <w:tcW w:type="dxa" w:w="6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Qwen2.5-1.5B-Instruct (fp16), loaded only with a printed warning</w:t>
            </w:r>
          </w:p>
        </w:tc>
      </w:tr>
      <w:tr>
        <w:tc>
          <w:tcPr>
            <w:tcW w:type="dxa" w:w="2900"/>
            <w:tcMar>
              <w:top w:type="dxa" w:w="50"/>
              <w:left w:type="dxa" w:w="90"/>
              <w:bottom w:type="dxa" w:w="50"/>
              <w:right w:type="dxa" w:w="90"/>
            </w:tcMar>
          </w:tcPr>
          <w:p>
            <w:pPr>
              <w:spacing w:after="0" w:line="250"/>
              <w:jc w:val="left"/>
            </w:pPr>
            <w:r>
              <w:rPr>
                <w:rFonts w:ascii="Calibri" w:cs="Calibri" w:eastAsia="Calibri" w:hAnsi="Calibri"/>
                <w:sz w:val="19"/>
                <w:szCs w:val="19"/>
              </w:rPr>
              <w:t xml:space="preserve">Embedding model</w:t>
            </w:r>
          </w:p>
        </w:tc>
        <w:tc>
          <w:tcPr>
            <w:tcW w:type="dxa" w:w="6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sentence-transformers/all-MiniLM-L6-v2 (384-dim)</w:t>
            </w:r>
          </w:p>
        </w:tc>
      </w:tr>
      <w:tr>
        <w:tc>
          <w:tcPr>
            <w:tcW w:type="dxa" w:w="2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Vector index</w:t>
            </w:r>
          </w:p>
        </w:tc>
        <w:tc>
          <w:tcPr>
            <w:tcW w:type="dxa" w:w="6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FAISS IndexFlatIP over L2-normalised vectors (exact cosine)</w:t>
            </w:r>
          </w:p>
        </w:tc>
      </w:tr>
      <w:tr>
        <w:tc>
          <w:tcPr>
            <w:tcW w:type="dxa" w:w="2900"/>
            <w:tcMar>
              <w:top w:type="dxa" w:w="50"/>
              <w:left w:type="dxa" w:w="90"/>
              <w:bottom w:type="dxa" w:w="50"/>
              <w:right w:type="dxa" w:w="90"/>
            </w:tcMar>
          </w:tcPr>
          <w:p>
            <w:pPr>
              <w:spacing w:after="0" w:line="250"/>
              <w:jc w:val="left"/>
            </w:pPr>
            <w:r>
              <w:rPr>
                <w:rFonts w:ascii="Calibri" w:cs="Calibri" w:eastAsia="Calibri" w:hAnsi="Calibri"/>
                <w:sz w:val="19"/>
                <w:szCs w:val="19"/>
              </w:rPr>
              <w:t xml:space="preserve">Retrieval depth</w:t>
            </w:r>
          </w:p>
        </w:tc>
        <w:tc>
          <w:tcPr>
            <w:tcW w:type="dxa" w:w="6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TOP_K = 8</w:t>
            </w:r>
          </w:p>
        </w:tc>
      </w:tr>
      <w:tr>
        <w:tc>
          <w:tcPr>
            <w:tcW w:type="dxa" w:w="2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Decoding</w:t>
            </w:r>
          </w:p>
        </w:tc>
        <w:tc>
          <w:tcPr>
            <w:tcW w:type="dxa" w:w="6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Greedy (do_sample=False), seed 42</w:t>
            </w:r>
          </w:p>
        </w:tc>
      </w:tr>
      <w:tr>
        <w:tc>
          <w:tcPr>
            <w:tcW w:type="dxa" w:w="2900"/>
            <w:tcMar>
              <w:top w:type="dxa" w:w="50"/>
              <w:left w:type="dxa" w:w="90"/>
              <w:bottom w:type="dxa" w:w="50"/>
              <w:right w:type="dxa" w:w="90"/>
            </w:tcMar>
          </w:tcPr>
          <w:p>
            <w:pPr>
              <w:spacing w:after="0" w:line="250"/>
              <w:jc w:val="left"/>
            </w:pPr>
            <w:r>
              <w:rPr>
                <w:rFonts w:ascii="Calibri" w:cs="Calibri" w:eastAsia="Calibri" w:hAnsi="Calibri"/>
                <w:sz w:val="19"/>
                <w:szCs w:val="19"/>
              </w:rPr>
              <w:t xml:space="preserve">Max new tokens</w:t>
            </w:r>
          </w:p>
        </w:tc>
        <w:tc>
          <w:tcPr>
            <w:tcW w:type="dxa" w:w="6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500</w:t>
            </w:r>
          </w:p>
        </w:tc>
      </w:tr>
      <w:tr>
        <w:tc>
          <w:tcPr>
            <w:tcW w:type="dxa" w:w="2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Max prompt tokens</w:t>
            </w:r>
          </w:p>
        </w:tc>
        <w:tc>
          <w:tcPr>
            <w:tcW w:type="dxa" w:w="6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4096, left-truncation</w:t>
            </w:r>
          </w:p>
        </w:tc>
      </w:tr>
      <w:tr>
        <w:tc>
          <w:tcPr>
            <w:tcW w:type="dxa" w:w="2900"/>
            <w:tcMar>
              <w:top w:type="dxa" w:w="50"/>
              <w:left w:type="dxa" w:w="90"/>
              <w:bottom w:type="dxa" w:w="50"/>
              <w:right w:type="dxa" w:w="90"/>
            </w:tcMar>
          </w:tcPr>
          <w:p>
            <w:pPr>
              <w:spacing w:after="0" w:line="250"/>
              <w:jc w:val="left"/>
            </w:pPr>
            <w:r>
              <w:rPr>
                <w:rFonts w:ascii="Calibri" w:cs="Calibri" w:eastAsia="Calibri" w:hAnsi="Calibri"/>
                <w:sz w:val="19"/>
                <w:szCs w:val="19"/>
              </w:rPr>
              <w:t xml:space="preserve">Prompting</w:t>
            </w:r>
          </w:p>
        </w:tc>
        <w:tc>
          <w:tcPr>
            <w:tcW w:type="dxa" w:w="6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System prompt plus two few-shot examples as prior turns</w:t>
            </w:r>
          </w:p>
        </w:tc>
      </w:tr>
      <w:tr>
        <w:tc>
          <w:tcPr>
            <w:tcW w:type="dxa" w:w="2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Verification</w:t>
            </w:r>
          </w:p>
        </w:tc>
        <w:tc>
          <w:tcPr>
            <w:tcW w:type="dxa" w:w="6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Gold-free post-hoc arithmetic verifier, at most one retry</w:t>
            </w:r>
          </w:p>
        </w:tc>
      </w:tr>
      <w:tr>
        <w:tc>
          <w:tcPr>
            <w:tcW w:type="dxa" w:w="2900"/>
            <w:tcMar>
              <w:top w:type="dxa" w:w="50"/>
              <w:left w:type="dxa" w:w="90"/>
              <w:bottom w:type="dxa" w:w="50"/>
              <w:right w:type="dxa" w:w="90"/>
            </w:tcMar>
          </w:tcPr>
          <w:p>
            <w:pPr>
              <w:spacing w:after="0" w:line="250"/>
              <w:jc w:val="left"/>
            </w:pPr>
            <w:r>
              <w:rPr>
                <w:rFonts w:ascii="Calibri" w:cs="Calibri" w:eastAsia="Calibri" w:hAnsi="Calibri"/>
                <w:sz w:val="19"/>
                <w:szCs w:val="19"/>
              </w:rPr>
              <w:t xml:space="preserve">Dataset</w:t>
            </w:r>
          </w:p>
        </w:tc>
        <w:tc>
          <w:tcPr>
            <w:tcW w:type="dxa" w:w="6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FinQA development split; test split reserved and unused</w:t>
            </w:r>
          </w:p>
        </w:tc>
      </w:tr>
      <w:tr>
        <w:tc>
          <w:tcPr>
            <w:tcW w:type="dxa" w:w="2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Hardware</w:t>
            </w:r>
          </w:p>
        </w:tc>
        <w:tc>
          <w:tcPr>
            <w:tcW w:type="dxa" w:w="6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ASUS TUF Gaming, AMD Ryzen 7, NVIDIA RTX 3050 (4 GB VRAM)</w:t>
            </w:r>
          </w:p>
        </w:tc>
      </w:tr>
    </w:tbl>
    <w:p>
      <w:pPr>
        <w:pStyle w:val="Heading2"/>
        <w:spacing w:after="100" w:before="240"/>
      </w:pPr>
      <w:r>
        <w:rPr>
          <w:rFonts w:ascii="Calibri" w:cs="Calibri" w:eastAsia="Calibri" w:hAnsi="Calibri"/>
          <w:b/>
          <w:bCs/>
          <w:color w:val="2E5496"/>
          <w:sz w:val="26"/>
          <w:szCs w:val="26"/>
        </w:rPr>
        <w:t xml:space="preserve">2.1 Hardware constraint on model selection</w:t>
      </w:r>
    </w:p>
    <w:p>
      <w:pPr>
        <w:spacing w:after="120" w:line="276"/>
        <w:jc w:val="both"/>
      </w:pPr>
      <w:r>
        <w:rPr>
          <w:rFonts w:ascii="Calibri" w:cs="Calibri" w:eastAsia="Calibri" w:hAnsi="Calibri"/>
          <w:sz w:val="22"/>
          <w:szCs w:val="22"/>
        </w:rPr>
        <w:t xml:space="preserve">Model choice is bound by 4 GB of video memory and the absence of an API budget. This is a genuine constraint rather than a convenience. A 3.8B model in half precision was evaluated first and proved impractically slow, consistent with memory exhaustion and paging to host RAM. A 3B model at 4-bit occupies approximately 2 GB and fits alongside the embedding model and key-value cache, representing the practical ceiling for this hardware. Models of 7B parameters require roughly 4.3 to 4.7 GB even at 4-bit and do not fit. Frontier models are available only through paid interfaces. An alternative API backend is implemented behind a command-line flag and shares retrieval, chunking, scoring and verification with the local path, so a future comparison would isolate the generator as the only changed variable.</w:t>
      </w:r>
    </w:p>
    <w:p>
      <w:pPr>
        <w:pStyle w:val="Heading2"/>
        <w:spacing w:after="100" w:before="240"/>
      </w:pPr>
      <w:r>
        <w:rPr>
          <w:rFonts w:ascii="Calibri" w:cs="Calibri" w:eastAsia="Calibri" w:hAnsi="Calibri"/>
          <w:b/>
          <w:bCs/>
          <w:color w:val="2E5496"/>
          <w:sz w:val="26"/>
          <w:szCs w:val="26"/>
        </w:rPr>
        <w:t xml:space="preserve">2.2 Gold answer resolution and scoring policy</w:t>
      </w:r>
    </w:p>
    <w:p>
      <w:pPr>
        <w:spacing w:after="120" w:line="276"/>
        <w:jc w:val="both"/>
      </w:pPr>
      <w:r>
        <w:rPr>
          <w:rFonts w:ascii="Calibri" w:cs="Calibri" w:eastAsia="Calibri" w:hAnsi="Calibri"/>
          <w:sz w:val="22"/>
          <w:szCs w:val="22"/>
        </w:rPr>
        <w:t xml:space="preserve">Scoring uses the dataset’s precise executed answer rather than its rounded display string, following the execution-accuracy methodology of the benchmark itself. This is standard practice, not a loosened tolerance. Items whose gold answer is non-numeric are excluded from accuracy and reported separately; in the reported runs this count was zero. A prediction is correct within the greater of 0.01 and two per cent of the gold magnitude. Where exactly one of prediction and gold carries a percentage unit, the pair is treated as a mismatch even when magnitudes agree. This is a deliberately conservative policy and is declared as a policy rather than left implicit.</w:t>
      </w:r>
    </w:p>
    <w:p>
      <w:r>
        <w:br w:type="page"/>
      </w:r>
    </w:p>
    <w:p>
      <w:pPr>
        <w:pStyle w:val="Heading1"/>
        <w:spacing w:after="140" w:before="320"/>
      </w:pPr>
      <w:r>
        <w:rPr>
          <w:rFonts w:ascii="Calibri" w:cs="Calibri" w:eastAsia="Calibri" w:hAnsi="Calibri"/>
          <w:b/>
          <w:bCs/>
          <w:color w:val="1F3864"/>
          <w:sz w:val="32"/>
          <w:szCs w:val="32"/>
        </w:rPr>
        <w:t xml:space="preserve">3. Defect Audit with Supporting Evidence</w:t>
      </w:r>
    </w:p>
    <w:p>
      <w:pPr>
        <w:spacing w:after="120" w:line="276"/>
        <w:jc w:val="both"/>
      </w:pPr>
      <w:r>
        <w:rPr>
          <w:rFonts w:ascii="Calibri" w:cs="Calibri" w:eastAsia="Calibri" w:hAnsi="Calibri"/>
          <w:sz w:val="22"/>
          <w:szCs w:val="22"/>
        </w:rPr>
        <w:t xml:space="preserve">Several defects were found that had produced invalid results. Each is documented with the specific measurement that identified it, because the credibility of the final figures rests on the audit that produced them.</w:t>
      </w:r>
    </w:p>
    <w:p>
      <w:pPr>
        <w:pStyle w:val="Heading2"/>
        <w:spacing w:after="100" w:before="240"/>
      </w:pPr>
      <w:r>
        <w:rPr>
          <w:rFonts w:ascii="Calibri" w:cs="Calibri" w:eastAsia="Calibri" w:hAnsi="Calibri"/>
          <w:b/>
          <w:bCs/>
          <w:color w:val="2E5496"/>
          <w:sz w:val="26"/>
          <w:szCs w:val="26"/>
        </w:rPr>
        <w:t xml:space="preserve">3.1 Fabricated evidence-support constant</w:t>
      </w:r>
    </w:p>
    <w:p>
      <w:pPr>
        <w:spacing w:after="120" w:line="276"/>
        <w:jc w:val="both"/>
      </w:pPr>
      <w:r>
        <w:rPr>
          <w:rFonts w:ascii="Calibri" w:cs="Calibri" w:eastAsia="Calibri" w:hAnsi="Calibri"/>
          <w:sz w:val="22"/>
          <w:szCs w:val="22"/>
        </w:rPr>
        <w:t xml:space="preserve">Two experiment scripts computed evidence support as:</w:t>
      </w:r>
    </w:p>
    <w:p>
      <w:pPr>
        <w:shd w:fill="F2F2F2" w:val="clear"/>
        <w:spacing w:after="120" w:before="80" w:line="240"/>
        <w:ind w:left="288"/>
      </w:pPr>
      <w:r>
        <w:rPr>
          <w:rFonts w:ascii="Consolas" w:cs="Consolas" w:eastAsia="Consolas" w:hAnsi="Consolas"/>
          <w:sz w:val="17"/>
          <w:szCs w:val="17"/>
        </w:rPr>
        <w:t xml:space="preserve">faithfulness = result.get("faithfulness", 0.8)</w:t>
      </w:r>
    </w:p>
    <w:p>
      <w:pPr>
        <w:spacing w:after="120" w:line="276"/>
        <w:jc w:val="both"/>
      </w:pPr>
      <w:r>
        <w:rPr>
          <w:rFonts w:ascii="Calibri" w:cs="Calibri" w:eastAsia="Calibri" w:hAnsi="Calibri"/>
          <w:sz w:val="22"/>
          <w:szCs w:val="22"/>
        </w:rPr>
        <w:t xml:space="preserve">The pipeline’s result dictionary never contained a "faithfulness" key, so this returned exactly 0.8 on every example in every condition. Every previously reported evidence-support value of exactly 0.8000 was therefore a default rather than a measurement, and thirty per cent of the composite weight was pinned to a constant, which alone would prevent the composite from responding to any manipulation.</w:t>
      </w:r>
    </w:p>
    <w:p>
      <w:pPr>
        <w:pStyle w:val="Heading2"/>
        <w:spacing w:after="100" w:before="240"/>
      </w:pPr>
      <w:r>
        <w:rPr>
          <w:rFonts w:ascii="Calibri" w:cs="Calibri" w:eastAsia="Calibri" w:hAnsi="Calibri"/>
          <w:b/>
          <w:bCs/>
          <w:color w:val="2E5496"/>
          <w:sz w:val="26"/>
          <w:szCs w:val="26"/>
        </w:rPr>
        <w:t xml:space="preserve">3.2 Gold-answer scaling defects</w:t>
      </w:r>
    </w:p>
    <w:p>
      <w:pPr>
        <w:spacing w:after="120" w:line="276"/>
        <w:jc w:val="both"/>
      </w:pPr>
      <w:r>
        <w:rPr>
          <w:rFonts w:ascii="Calibri" w:cs="Calibri" w:eastAsia="Calibri" w:hAnsi="Calibri"/>
          <w:sz w:val="22"/>
          <w:szCs w:val="22"/>
        </w:rPr>
        <w:t xml:space="preserve">The benchmark is inconsistent about whether its executed answer is a raw ratio or already percentage-scaled. Two distinct defects arose. In the first, the annotated program itself contained an explicit multiplication by one hundred:</w:t>
      </w:r>
    </w:p>
    <w:p>
      <w:pPr>
        <w:shd w:fill="F2F2F2" w:val="clear"/>
        <w:spacing w:after="120" w:before="80" w:line="240"/>
        <w:ind w:left="288"/>
      </w:pPr>
      <w:r>
        <w:rPr>
          <w:rFonts w:ascii="Consolas" w:cs="Consolas" w:eastAsia="Consolas" w:hAnsi="Consolas"/>
          <w:sz w:val="17"/>
          <w:szCs w:val="17"/>
        </w:rPr>
        <w:t xml:space="preserve">item     : DVN/2007/page_58.pdf-2</w:t>
      </w:r>
      <w:r>
        <w:br/>
        <w:t xml:space="preserve"/>
      </w:r>
      <w:r>
        <w:rPr>
          <w:rFonts w:ascii="Consolas" w:cs="Consolas" w:eastAsia="Consolas" w:hAnsi="Consolas"/>
          <w:sz w:val="17"/>
          <w:szCs w:val="17"/>
        </w:rPr>
        <w:t xml:space="preserve">program  : "divide(60, 243), multiply(#0, const_100)"</w:t>
      </w:r>
      <w:r>
        <w:br/>
        <w:t xml:space="preserve"/>
      </w:r>
      <w:r>
        <w:rPr>
          <w:rFonts w:ascii="Consolas" w:cs="Consolas" w:eastAsia="Consolas" w:hAnsi="Consolas"/>
          <w:sz w:val="17"/>
          <w:szCs w:val="17"/>
        </w:rPr>
        <w:t xml:space="preserve">exe_ans  : 24.69136        # already a percentage</w:t>
      </w:r>
      <w:r>
        <w:br/>
        <w:t xml:space="preserve"/>
      </w:r>
      <w:r>
        <w:rPr>
          <w:rFonts w:ascii="Consolas" w:cs="Consolas" w:eastAsia="Consolas" w:hAnsi="Consolas"/>
          <w:sz w:val="17"/>
          <w:szCs w:val="17"/>
        </w:rPr>
        <w:t xml:space="preserve">answer   : "24.69%"</w:t>
      </w:r>
    </w:p>
    <w:p>
      <w:pPr>
        <w:spacing w:after="120" w:line="276"/>
        <w:jc w:val="both"/>
      </w:pPr>
      <w:r>
        <w:rPr>
          <w:rFonts w:ascii="Calibri" w:cs="Calibri" w:eastAsia="Calibri" w:hAnsi="Calibri"/>
          <w:sz w:val="22"/>
          <w:szCs w:val="22"/>
        </w:rPr>
        <w:t xml:space="preserve">Scaling again produced a gold value of 2469.136% and marked a correct model answer of 24.69 as wrong. In the second, both operands of a subtraction were already percentages:</w:t>
      </w:r>
    </w:p>
    <w:p>
      <w:pPr>
        <w:shd w:fill="F2F2F2" w:val="clear"/>
        <w:spacing w:after="120" w:before="80" w:line="240"/>
        <w:ind w:left="288"/>
      </w:pPr>
      <w:r>
        <w:rPr>
          <w:rFonts w:ascii="Consolas" w:cs="Consolas" w:eastAsia="Consolas" w:hAnsi="Consolas"/>
          <w:sz w:val="17"/>
          <w:szCs w:val="17"/>
        </w:rPr>
        <w:t xml:space="preserve">item     : ZBH/2003/page_40.pdf-1</w:t>
      </w:r>
      <w:r>
        <w:br/>
        <w:t xml:space="preserve"/>
      </w:r>
      <w:r>
        <w:rPr>
          <w:rFonts w:ascii="Consolas" w:cs="Consolas" w:eastAsia="Consolas" w:hAnsi="Consolas"/>
          <w:sz w:val="17"/>
          <w:szCs w:val="17"/>
        </w:rPr>
        <w:t xml:space="preserve">program  : "subtract(51.2, 47.4)"   # operands already %</w:t>
      </w:r>
      <w:r>
        <w:br/>
        <w:t xml:space="preserve"/>
      </w:r>
      <w:r>
        <w:rPr>
          <w:rFonts w:ascii="Consolas" w:cs="Consolas" w:eastAsia="Consolas" w:hAnsi="Consolas"/>
          <w:sz w:val="17"/>
          <w:szCs w:val="17"/>
        </w:rPr>
        <w:t xml:space="preserve">exe_ans  : 3.8</w:t>
      </w:r>
      <w:r>
        <w:br/>
        <w:t xml:space="preserve"/>
      </w:r>
      <w:r>
        <w:rPr>
          <w:rFonts w:ascii="Consolas" w:cs="Consolas" w:eastAsia="Consolas" w:hAnsi="Consolas"/>
          <w:sz w:val="17"/>
          <w:szCs w:val="17"/>
        </w:rPr>
        <w:t xml:space="preserve">answer   : "3.8%"</w:t>
      </w:r>
    </w:p>
    <w:p>
      <w:pPr>
        <w:spacing w:after="120" w:line="276"/>
        <w:jc w:val="both"/>
      </w:pPr>
      <w:r>
        <w:rPr>
          <w:rFonts w:ascii="Calibri" w:cs="Calibri" w:eastAsia="Calibri" w:hAnsi="Calibri"/>
          <w:sz w:val="22"/>
          <w:szCs w:val="22"/>
        </w:rPr>
        <w:t xml:space="preserve">No multiplication step appears here, so a remedy based on pattern-matching the program string still mis-scaled this case to 380%. The final resolution compares the executed answer against the numeric magnitude of the dataset’s own human-written display string and selects whichever of the raw or scaled value lies closer, on the reasoning that a human annotation is a more reliable signal than program syntax. Verified against all nine observed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700"/>
        <w:gridCol w:w="2560"/>
      </w:tblGrid>
      <w:tr>
        <w:trPr>
          <w:tblHeader/>
        </w:trPr>
        <w:tc>
          <w:tcPr>
            <w:tcW w:type="dxa" w:w="32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Item</w:t>
            </w:r>
          </w:p>
        </w:tc>
        <w:tc>
          <w:tcPr>
            <w:tcW w:type="dxa" w:w="19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exe_ans</w:t>
            </w:r>
          </w:p>
        </w:tc>
        <w:tc>
          <w:tcPr>
            <w:tcW w:type="dxa" w:w="17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Display</w:t>
            </w:r>
          </w:p>
        </w:tc>
        <w:tc>
          <w:tcPr>
            <w:tcW w:type="dxa" w:w="25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Resolved gold</w:t>
            </w:r>
          </w:p>
        </w:tc>
      </w:tr>
      <w:tr>
        <w:tc>
          <w:tcPr>
            <w:tcW w:type="dxa" w:w="3200"/>
            <w:tcMar>
              <w:top w:type="dxa" w:w="50"/>
              <w:left w:type="dxa" w:w="90"/>
              <w:bottom w:type="dxa" w:w="50"/>
              <w:right w:type="dxa" w:w="90"/>
            </w:tcMar>
          </w:tcPr>
          <w:p>
            <w:pPr>
              <w:spacing w:after="0" w:line="250"/>
              <w:jc w:val="left"/>
            </w:pPr>
            <w:r>
              <w:rPr>
                <w:rFonts w:ascii="Calibri" w:cs="Calibri" w:eastAsia="Calibri" w:hAnsi="Calibri"/>
                <w:sz w:val="19"/>
                <w:szCs w:val="19"/>
              </w:rPr>
              <w:t xml:space="preserve">DVN/2007/page_58.pdf-2</w:t>
            </w:r>
          </w:p>
        </w:tc>
        <w:tc>
          <w:tcPr>
            <w:tcW w:type="dxa" w:w="1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24.69136</w:t>
            </w:r>
          </w:p>
        </w:tc>
        <w:tc>
          <w:tcPr>
            <w:tcW w:type="dxa" w:w="1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24.69%</w:t>
            </w:r>
          </w:p>
        </w:tc>
        <w:tc>
          <w:tcPr>
            <w:tcW w:type="dxa" w:w="2560"/>
            <w:tcMar>
              <w:top w:type="dxa" w:w="50"/>
              <w:left w:type="dxa" w:w="90"/>
              <w:bottom w:type="dxa" w:w="50"/>
              <w:right w:type="dxa" w:w="90"/>
            </w:tcMar>
          </w:tcPr>
          <w:p>
            <w:pPr>
              <w:spacing w:after="0" w:line="250"/>
              <w:jc w:val="center"/>
            </w:pPr>
            <w:r>
              <w:rPr>
                <w:rFonts w:ascii="Calibri" w:cs="Calibri" w:eastAsia="Calibri" w:hAnsi="Calibri"/>
                <w:sz w:val="19"/>
                <w:szCs w:val="19"/>
              </w:rPr>
              <w:t xml:space="preserve">24.69136%</w:t>
            </w:r>
          </w:p>
        </w:tc>
      </w:tr>
      <w:tr>
        <w:tc>
          <w:tcPr>
            <w:tcW w:type="dxa" w:w="32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ZBH/2003/page_40.pdf-1</w:t>
            </w:r>
          </w:p>
        </w:tc>
        <w:tc>
          <w:tcPr>
            <w:tcW w:type="dxa" w:w="1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3.8</w:t>
            </w:r>
          </w:p>
        </w:tc>
        <w:tc>
          <w:tcPr>
            <w:tcW w:type="dxa" w:w="1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3.8%</w:t>
            </w:r>
          </w:p>
        </w:tc>
        <w:tc>
          <w:tcPr>
            <w:tcW w:type="dxa" w:w="25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3.8%</w:t>
            </w:r>
          </w:p>
        </w:tc>
      </w:tr>
      <w:tr>
        <w:tc>
          <w:tcPr>
            <w:tcW w:type="dxa" w:w="3200"/>
            <w:tcMar>
              <w:top w:type="dxa" w:w="50"/>
              <w:left w:type="dxa" w:w="90"/>
              <w:bottom w:type="dxa" w:w="50"/>
              <w:right w:type="dxa" w:w="90"/>
            </w:tcMar>
          </w:tcPr>
          <w:p>
            <w:pPr>
              <w:spacing w:after="0" w:line="250"/>
              <w:jc w:val="left"/>
            </w:pPr>
            <w:r>
              <w:rPr>
                <w:rFonts w:ascii="Calibri" w:cs="Calibri" w:eastAsia="Calibri" w:hAnsi="Calibri"/>
                <w:sz w:val="19"/>
                <w:szCs w:val="19"/>
              </w:rPr>
              <w:t xml:space="preserve">C/2017/page_328.pdf-1</w:t>
            </w:r>
          </w:p>
        </w:tc>
        <w:tc>
          <w:tcPr>
            <w:tcW w:type="dxa" w:w="1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0.935</w:t>
            </w:r>
          </w:p>
        </w:tc>
        <w:tc>
          <w:tcPr>
            <w:tcW w:type="dxa" w:w="1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93.5%</w:t>
            </w:r>
          </w:p>
        </w:tc>
        <w:tc>
          <w:tcPr>
            <w:tcW w:type="dxa" w:w="2560"/>
            <w:tcMar>
              <w:top w:type="dxa" w:w="50"/>
              <w:left w:type="dxa" w:w="90"/>
              <w:bottom w:type="dxa" w:w="50"/>
              <w:right w:type="dxa" w:w="90"/>
            </w:tcMar>
          </w:tcPr>
          <w:p>
            <w:pPr>
              <w:spacing w:after="0" w:line="250"/>
              <w:jc w:val="center"/>
            </w:pPr>
            <w:r>
              <w:rPr>
                <w:rFonts w:ascii="Calibri" w:cs="Calibri" w:eastAsia="Calibri" w:hAnsi="Calibri"/>
                <w:sz w:val="19"/>
                <w:szCs w:val="19"/>
              </w:rPr>
              <w:t xml:space="preserve">93.5%</w:t>
            </w:r>
          </w:p>
        </w:tc>
      </w:tr>
      <w:tr>
        <w:tc>
          <w:tcPr>
            <w:tcW w:type="dxa" w:w="32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JPM/2008/page_85.pdf-3</w:t>
            </w:r>
          </w:p>
        </w:tc>
        <w:tc>
          <w:tcPr>
            <w:tcW w:type="dxa" w:w="1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0.10935</w:t>
            </w:r>
          </w:p>
        </w:tc>
        <w:tc>
          <w:tcPr>
            <w:tcW w:type="dxa" w:w="1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10.94%</w:t>
            </w:r>
          </w:p>
        </w:tc>
        <w:tc>
          <w:tcPr>
            <w:tcW w:type="dxa" w:w="25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10.935%</w:t>
            </w:r>
          </w:p>
        </w:tc>
      </w:tr>
      <w:tr>
        <w:tc>
          <w:tcPr>
            <w:tcW w:type="dxa" w:w="3200"/>
            <w:tcMar>
              <w:top w:type="dxa" w:w="50"/>
              <w:left w:type="dxa" w:w="90"/>
              <w:bottom w:type="dxa" w:w="50"/>
              <w:right w:type="dxa" w:w="90"/>
            </w:tcMar>
          </w:tcPr>
          <w:p>
            <w:pPr>
              <w:spacing w:after="0" w:line="250"/>
              <w:jc w:val="left"/>
            </w:pPr>
            <w:r>
              <w:rPr>
                <w:rFonts w:ascii="Calibri" w:cs="Calibri" w:eastAsia="Calibri" w:hAnsi="Calibri"/>
                <w:sz w:val="19"/>
                <w:szCs w:val="19"/>
              </w:rPr>
              <w:t xml:space="preserve">PNC/2013/page_207.pdf-1</w:t>
            </w:r>
          </w:p>
        </w:tc>
        <w:tc>
          <w:tcPr>
            <w:tcW w:type="dxa" w:w="1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30.44323</w:t>
            </w:r>
          </w:p>
        </w:tc>
        <w:tc>
          <w:tcPr>
            <w:tcW w:type="dxa" w:w="1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3044%</w:t>
            </w:r>
          </w:p>
        </w:tc>
        <w:tc>
          <w:tcPr>
            <w:tcW w:type="dxa" w:w="2560"/>
            <w:tcMar>
              <w:top w:type="dxa" w:w="50"/>
              <w:left w:type="dxa" w:w="90"/>
              <w:bottom w:type="dxa" w:w="50"/>
              <w:right w:type="dxa" w:w="90"/>
            </w:tcMar>
          </w:tcPr>
          <w:p>
            <w:pPr>
              <w:spacing w:after="0" w:line="250"/>
              <w:jc w:val="center"/>
            </w:pPr>
            <w:r>
              <w:rPr>
                <w:rFonts w:ascii="Calibri" w:cs="Calibri" w:eastAsia="Calibri" w:hAnsi="Calibri"/>
                <w:sz w:val="19"/>
                <w:szCs w:val="19"/>
              </w:rPr>
              <w:t xml:space="preserve">3044.323%</w:t>
            </w:r>
          </w:p>
        </w:tc>
      </w:tr>
      <w:tr>
        <w:tc>
          <w:tcPr>
            <w:tcW w:type="dxa" w:w="32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ETR/2004/page_213.pdf-2</w:t>
            </w:r>
          </w:p>
        </w:tc>
        <w:tc>
          <w:tcPr>
            <w:tcW w:type="dxa" w:w="1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0.60306</w:t>
            </w:r>
          </w:p>
        </w:tc>
        <w:tc>
          <w:tcPr>
            <w:tcW w:type="dxa" w:w="1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60.3%</w:t>
            </w:r>
          </w:p>
        </w:tc>
        <w:tc>
          <w:tcPr>
            <w:tcW w:type="dxa" w:w="25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60.306%</w:t>
            </w:r>
          </w:p>
        </w:tc>
      </w:tr>
      <w:tr>
        <w:tc>
          <w:tcPr>
            <w:tcW w:type="dxa" w:w="3200"/>
            <w:tcMar>
              <w:top w:type="dxa" w:w="50"/>
              <w:left w:type="dxa" w:w="90"/>
              <w:bottom w:type="dxa" w:w="50"/>
              <w:right w:type="dxa" w:w="90"/>
            </w:tcMar>
          </w:tcPr>
          <w:p>
            <w:pPr>
              <w:spacing w:after="0" w:line="250"/>
              <w:jc w:val="left"/>
            </w:pPr>
            <w:r>
              <w:rPr>
                <w:rFonts w:ascii="Calibri" w:cs="Calibri" w:eastAsia="Calibri" w:hAnsi="Calibri"/>
                <w:sz w:val="19"/>
                <w:szCs w:val="19"/>
              </w:rPr>
              <w:t xml:space="preserve">MSI/2006/page_61.pdf-3</w:t>
            </w:r>
          </w:p>
        </w:tc>
        <w:tc>
          <w:tcPr>
            <w:tcW w:type="dxa" w:w="1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0.35099</w:t>
            </w:r>
          </w:p>
        </w:tc>
        <w:tc>
          <w:tcPr>
            <w:tcW w:type="dxa" w:w="1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35.1%</w:t>
            </w:r>
          </w:p>
        </w:tc>
        <w:tc>
          <w:tcPr>
            <w:tcW w:type="dxa" w:w="2560"/>
            <w:tcMar>
              <w:top w:type="dxa" w:w="50"/>
              <w:left w:type="dxa" w:w="90"/>
              <w:bottom w:type="dxa" w:w="50"/>
              <w:right w:type="dxa" w:w="90"/>
            </w:tcMar>
          </w:tcPr>
          <w:p>
            <w:pPr>
              <w:spacing w:after="0" w:line="250"/>
              <w:jc w:val="center"/>
            </w:pPr>
            <w:r>
              <w:rPr>
                <w:rFonts w:ascii="Calibri" w:cs="Calibri" w:eastAsia="Calibri" w:hAnsi="Calibri"/>
                <w:sz w:val="19"/>
                <w:szCs w:val="19"/>
              </w:rPr>
              <w:t xml:space="preserve">35.099%</w:t>
            </w:r>
          </w:p>
        </w:tc>
      </w:tr>
      <w:tr>
        <w:tc>
          <w:tcPr>
            <w:tcW w:type="dxa" w:w="32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CME/2017/page_97.pdf-5</w:t>
            </w:r>
          </w:p>
        </w:tc>
        <w:tc>
          <w:tcPr>
            <w:tcW w:type="dxa" w:w="1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995.0</w:t>
            </w:r>
          </w:p>
        </w:tc>
        <w:tc>
          <w:tcPr>
            <w:tcW w:type="dxa" w:w="1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995</w:t>
            </w:r>
          </w:p>
        </w:tc>
        <w:tc>
          <w:tcPr>
            <w:tcW w:type="dxa" w:w="25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995.0</w:t>
            </w:r>
          </w:p>
        </w:tc>
      </w:tr>
      <w:tr>
        <w:tc>
          <w:tcPr>
            <w:tcW w:type="dxa" w:w="3200"/>
            <w:tcMar>
              <w:top w:type="dxa" w:w="50"/>
              <w:left w:type="dxa" w:w="90"/>
              <w:bottom w:type="dxa" w:w="50"/>
              <w:right w:type="dxa" w:w="90"/>
            </w:tcMar>
          </w:tcPr>
          <w:p>
            <w:pPr>
              <w:spacing w:after="0" w:line="250"/>
              <w:jc w:val="left"/>
            </w:pPr>
            <w:r>
              <w:rPr>
                <w:rFonts w:ascii="Calibri" w:cs="Calibri" w:eastAsia="Calibri" w:hAnsi="Calibri"/>
                <w:sz w:val="19"/>
                <w:szCs w:val="19"/>
              </w:rPr>
              <w:t xml:space="preserve">AMT/2005/page_105.pdf-2</w:t>
            </w:r>
          </w:p>
        </w:tc>
        <w:tc>
          <w:tcPr>
            <w:tcW w:type="dxa" w:w="1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4575515.0</w:t>
            </w:r>
          </w:p>
        </w:tc>
        <w:tc>
          <w:tcPr>
            <w:tcW w:type="dxa" w:w="1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4575515</w:t>
            </w:r>
          </w:p>
        </w:tc>
        <w:tc>
          <w:tcPr>
            <w:tcW w:type="dxa" w:w="2560"/>
            <w:tcMar>
              <w:top w:type="dxa" w:w="50"/>
              <w:left w:type="dxa" w:w="90"/>
              <w:bottom w:type="dxa" w:w="50"/>
              <w:right w:type="dxa" w:w="90"/>
            </w:tcMar>
          </w:tcPr>
          <w:p>
            <w:pPr>
              <w:spacing w:after="0" w:line="250"/>
              <w:jc w:val="center"/>
            </w:pPr>
            <w:r>
              <w:rPr>
                <w:rFonts w:ascii="Calibri" w:cs="Calibri" w:eastAsia="Calibri" w:hAnsi="Calibri"/>
                <w:sz w:val="19"/>
                <w:szCs w:val="19"/>
              </w:rPr>
              <w:t xml:space="preserve">4575515.0</w:t>
            </w:r>
          </w:p>
        </w:tc>
      </w:tr>
    </w:tbl>
    <w:p>
      <w:pPr>
        <w:pStyle w:val="Heading2"/>
        <w:spacing w:after="100" w:before="240"/>
      </w:pPr>
      <w:r>
        <w:rPr>
          <w:rFonts w:ascii="Calibri" w:cs="Calibri" w:eastAsia="Calibri" w:hAnsi="Calibri"/>
          <w:b/>
          <w:bCs/>
          <w:color w:val="2E5496"/>
          <w:sz w:val="26"/>
          <w:szCs w:val="26"/>
        </w:rPr>
        <w:t xml:space="preserve">3.3 Chunking defect invalidating two experiments</w:t>
      </w:r>
    </w:p>
    <w:p>
      <w:pPr>
        <w:spacing w:after="120" w:line="276"/>
        <w:jc w:val="both"/>
      </w:pPr>
      <w:r>
        <w:rPr>
          <w:rFonts w:ascii="Calibri" w:cs="Calibri" w:eastAsia="Calibri" w:hAnsi="Calibri"/>
          <w:sz w:val="22"/>
          <w:szCs w:val="22"/>
        </w:rPr>
        <w:t xml:space="preserve">Both the adversarial and the noise experiment assigned a string to the pre-text field, which the chunker iterates expecting a list of sentences:</w:t>
      </w:r>
    </w:p>
    <w:p>
      <w:pPr>
        <w:shd w:fill="F2F2F2" w:val="clear"/>
        <w:spacing w:after="120" w:before="80" w:line="240"/>
        <w:ind w:left="288"/>
      </w:pPr>
      <w:r>
        <w:rPr>
          <w:rFonts w:ascii="Consolas" w:cs="Consolas" w:eastAsia="Consolas" w:hAnsi="Consolas"/>
          <w:sz w:val="17"/>
          <w:szCs w:val="17"/>
        </w:rPr>
        <w:t xml:space="preserve">for i, sentence in enumerate(pre_text):</w:t>
      </w:r>
    </w:p>
    <w:p>
      <w:pPr>
        <w:spacing w:after="120" w:line="276"/>
        <w:jc w:val="both"/>
      </w:pPr>
      <w:r>
        <w:rPr>
          <w:rFonts w:ascii="Calibri" w:cs="Calibri" w:eastAsia="Calibri" w:hAnsi="Calibri"/>
          <w:sz w:val="22"/>
          <w:szCs w:val="22"/>
        </w:rPr>
        <w:t xml:space="preserve">Iterating a Python string yields one character at a time. This was verified directly, with a 57-character string producing 57 single-character retrieval chunks:</w:t>
      </w:r>
    </w:p>
    <w:p>
      <w:pPr>
        <w:shd w:fill="F2F2F2" w:val="clear"/>
        <w:spacing w:after="120" w:before="80" w:line="240"/>
        <w:ind w:left="288"/>
      </w:pPr>
      <w:r>
        <w:rPr>
          <w:rFonts w:ascii="Consolas" w:cs="Consolas" w:eastAsia="Consolas" w:hAnsi="Consolas"/>
          <w:sz w:val="17"/>
          <w:szCs w:val="17"/>
        </w:rPr>
        <w:t xml:space="preserve">NORMAL (list)   -&gt; 2 chunks:</w:t>
      </w:r>
      <w:r>
        <w:br/>
        <w:t xml:space="preserve"/>
      </w:r>
      <w:r>
        <w:rPr>
          <w:rFonts w:ascii="Consolas" w:cs="Consolas" w:eastAsia="Consolas" w:hAnsi="Consolas"/>
          <w:sz w:val="17"/>
          <w:szCs w:val="17"/>
        </w:rPr>
        <w:t xml:space="preserve">  ('pre_0', 'net revenue was 5829 million in 2015 .')</w:t>
      </w:r>
      <w:r>
        <w:br/>
        <w:t xml:space="preserve"/>
      </w:r>
      <w:r>
        <w:rPr>
          <w:rFonts w:ascii="Consolas" w:cs="Consolas" w:eastAsia="Consolas" w:hAnsi="Consolas"/>
          <w:sz w:val="17"/>
          <w:szCs w:val="17"/>
        </w:rPr>
        <w:t xml:space="preserve">  ('pre_1', 'this was an increase of 94 million .')</w:t>
      </w:r>
      <w:r>
        <w:br/>
        <w:t xml:space="preserve"/>
      </w:r>
      <w:r>
        <w:rPr>
          <w:rFonts w:ascii="Consolas" w:cs="Consolas" w:eastAsia="Consolas" w:hAnsi="Consolas"/>
          <w:sz w:val="17"/>
          <w:szCs w:val="17"/>
        </w:rPr>
        <w:t xml:space="preserve"/>
      </w:r>
      <w:r>
        <w:br/>
        <w:t xml:space="preserve"/>
      </w:r>
      <w:r>
        <w:rPr>
          <w:rFonts w:ascii="Consolas" w:cs="Consolas" w:eastAsia="Consolas" w:hAnsi="Consolas"/>
          <w:sz w:val="17"/>
          <w:szCs w:val="17"/>
        </w:rPr>
        <w:t xml:space="preserve">AFTER injection (string) -&gt; 57 chunks:</w:t>
      </w:r>
      <w:r>
        <w:br/>
        <w:t xml:space="preserve"/>
      </w:r>
      <w:r>
        <w:rPr>
          <w:rFonts w:ascii="Consolas" w:cs="Consolas" w:eastAsia="Consolas" w:hAnsi="Consolas"/>
          <w:sz w:val="17"/>
          <w:szCs w:val="17"/>
        </w:rPr>
        <w:t xml:space="preserve">  ('pre_0','n') ('pre_1','e') ('pre_2','t') ('pre_4','r') ...</w:t>
      </w:r>
      <w:r>
        <w:br/>
        <w:t xml:space="preserve"/>
      </w:r>
      <w:r>
        <w:rPr>
          <w:rFonts w:ascii="Consolas" w:cs="Consolas" w:eastAsia="Consolas" w:hAnsi="Consolas"/>
          <w:sz w:val="17"/>
          <w:szCs w:val="17"/>
        </w:rPr>
        <w:t xml:space="preserve">  all chunks are single characters: True</w:t>
      </w:r>
    </w:p>
    <w:p>
      <w:pPr>
        <w:spacing w:after="120" w:line="276"/>
        <w:jc w:val="both"/>
      </w:pPr>
      <w:r>
        <w:rPr>
          <w:rFonts w:ascii="Calibri" w:cs="Calibri" w:eastAsia="Calibri" w:hAnsi="Calibri"/>
          <w:sz w:val="22"/>
          <w:szCs w:val="22"/>
        </w:rPr>
        <w:t xml:space="preserve">Because the noise function returned a string even at noise level zero, the baseline condition was corrupted as well, which explains an anomalous 6% accuracy at 0% noise against 34% from the identical pipeline in Experiment 1. All prior results from these two experiments were invalid and were discarded rather than reported.</w:t>
      </w:r>
    </w:p>
    <w:p>
      <w:pPr>
        <w:pStyle w:val="Heading2"/>
        <w:spacing w:after="100" w:before="240"/>
      </w:pPr>
      <w:r>
        <w:rPr>
          <w:rFonts w:ascii="Calibri" w:cs="Calibri" w:eastAsia="Calibri" w:hAnsi="Calibri"/>
          <w:b/>
          <w:bCs/>
          <w:color w:val="2E5496"/>
          <w:sz w:val="26"/>
          <w:szCs w:val="26"/>
        </w:rPr>
        <w:t xml:space="preserve">3.4 Revision of the evidence-support measure and its anti-gaming validation</w:t>
      </w:r>
    </w:p>
    <w:p>
      <w:pPr>
        <w:spacing w:after="120" w:line="276"/>
        <w:jc w:val="both"/>
      </w:pPr>
      <w:r>
        <w:rPr>
          <w:rFonts w:ascii="Calibri" w:cs="Calibri" w:eastAsia="Calibri" w:hAnsi="Calibri"/>
          <w:sz w:val="22"/>
          <w:szCs w:val="22"/>
        </w:rPr>
        <w:t xml:space="preserve">The strict definition credits a response number only if it appears literally in the evidence. The answer to an arithmetic question is a computed value that by construction does not appear in the source text. Measured on the fifty-item baseline, zero of the fifteen fully correct answers achieved a strict score of unity, with a mean of 0.686. The metric therefore penalised the system for performing the arithmetic the task requires, and bounded the composite below unity by construction.</w:t>
      </w:r>
    </w:p>
    <w:p>
      <w:pPr>
        <w:spacing w:after="120" w:line="276"/>
        <w:jc w:val="both"/>
      </w:pPr>
      <w:r>
        <w:rPr>
          <w:rFonts w:ascii="Calibri" w:cs="Calibri" w:eastAsia="Calibri" w:hAnsi="Calibri"/>
          <w:sz w:val="22"/>
          <w:szCs w:val="22"/>
        </w:rPr>
        <w:t xml:space="preserve">The revised definition additionally credits values reachable from the evidence numbers the response itself cited by one elementary arithmetic step, matched at the precision the value was written. Validation against gaming was treated as a precondition of adoption, not an afterthought: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Seeding strategy</w:t>
            </w:r>
          </w:p>
        </w:tc>
        <w:tc>
          <w:tcPr>
            <w:tcW w:type="dxa" w:w="32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False-positive rate on invented numbers</w:t>
            </w:r>
          </w:p>
        </w:tc>
        <w:tc>
          <w:tcPr>
            <w:tcW w:type="dxa" w:w="25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Outcome</w:t>
            </w:r>
          </w:p>
        </w:tc>
      </w:tr>
      <w:tr>
        <w:tc>
          <w:tcPr>
            <w:tcW w:type="dxa" w:w="3600"/>
            <w:tcMar>
              <w:top w:type="dxa" w:w="50"/>
              <w:left w:type="dxa" w:w="90"/>
              <w:bottom w:type="dxa" w:w="50"/>
              <w:right w:type="dxa" w:w="90"/>
            </w:tcMar>
          </w:tcPr>
          <w:p>
            <w:pPr>
              <w:spacing w:after="0" w:line="250"/>
              <w:jc w:val="left"/>
            </w:pPr>
            <w:r>
              <w:rPr>
                <w:rFonts w:ascii="Calibri" w:cs="Calibri" w:eastAsia="Calibri" w:hAnsi="Calibri"/>
                <w:sz w:val="19"/>
                <w:szCs w:val="19"/>
              </w:rPr>
              <w:t xml:space="preserve">All evidence numbers present in the block</w:t>
            </w:r>
          </w:p>
        </w:tc>
        <w:tc>
          <w:tcPr>
            <w:tcW w:type="dxa" w:w="3200"/>
            <w:tcMar>
              <w:top w:type="dxa" w:w="50"/>
              <w:left w:type="dxa" w:w="90"/>
              <w:bottom w:type="dxa" w:w="50"/>
              <w:right w:type="dxa" w:w="90"/>
            </w:tcMar>
          </w:tcPr>
          <w:p>
            <w:pPr>
              <w:spacing w:after="0" w:line="250"/>
              <w:jc w:val="center"/>
            </w:pPr>
            <w:r>
              <w:rPr>
                <w:rFonts w:ascii="Calibri" w:cs="Calibri" w:eastAsia="Calibri" w:hAnsi="Calibri"/>
                <w:sz w:val="19"/>
                <w:szCs w:val="19"/>
              </w:rPr>
              <w:t xml:space="preserve">86.5%</w:t>
            </w:r>
          </w:p>
        </w:tc>
        <w:tc>
          <w:tcPr>
            <w:tcW w:type="dxa" w:w="2560"/>
            <w:tcMar>
              <w:top w:type="dxa" w:w="50"/>
              <w:left w:type="dxa" w:w="90"/>
              <w:bottom w:type="dxa" w:w="50"/>
              <w:right w:type="dxa" w:w="90"/>
            </w:tcMar>
          </w:tcPr>
          <w:p>
            <w:pPr>
              <w:spacing w:after="0" w:line="250"/>
              <w:jc w:val="center"/>
            </w:pPr>
            <w:r>
              <w:rPr>
                <w:rFonts w:ascii="Calibri" w:cs="Calibri" w:eastAsia="Calibri" w:hAnsi="Calibri"/>
                <w:sz w:val="19"/>
                <w:szCs w:val="19"/>
              </w:rPr>
              <w:t xml:space="preserve">Rejected</w:t>
            </w:r>
          </w:p>
        </w:tc>
      </w:tr>
      <w:tr>
        <w:tc>
          <w:tcPr>
            <w:tcW w:type="dxa" w:w="36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Only numbers the response cited, plus unit constants</w:t>
            </w:r>
          </w:p>
        </w:tc>
        <w:tc>
          <w:tcPr>
            <w:tcW w:type="dxa" w:w="32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0.2%</w:t>
            </w:r>
          </w:p>
        </w:tc>
        <w:tc>
          <w:tcPr>
            <w:tcW w:type="dxa" w:w="25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Adopted</w:t>
            </w:r>
          </w:p>
        </w:tc>
      </w:tr>
    </w:tbl>
    <w:p>
      <w:pPr>
        <w:spacing w:after="120" w:line="276"/>
        <w:jc w:val="both"/>
      </w:pPr>
      <w:r>
        <w:rPr>
          <w:rFonts w:ascii="Calibri" w:cs="Calibri" w:eastAsia="Calibri" w:hAnsi="Calibri"/>
          <w:sz w:val="22"/>
          <w:szCs w:val="22"/>
        </w:rPr>
        <w:t xml:space="preserve">The 86.5% figure means the first implementation would have credited almost any hallucinated value as supported, which would have inverted the purpose of the metric. The adopted version was measured over 400 adversarial trials in which an invented value accompanies four correctly cited evidence numbers. This test executes on every run of the metric module, so the validity claim is re-established on each execution rather than resting on a single historical measurement.</w:t>
      </w:r>
    </w:p>
    <w:p>
      <w:pPr>
        <w:spacing w:after="120" w:line="276"/>
        <w:jc w:val="both"/>
      </w:pPr>
      <w:r>
        <w:rPr>
          <w:rFonts w:ascii="Calibri" w:cs="Calibri" w:eastAsia="Calibri" w:hAnsi="Calibri"/>
          <w:b/>
          <w:bCs/>
          <w:sz w:val="22"/>
          <w:szCs w:val="22"/>
        </w:rPr>
        <w:t xml:space="preserve">Both definitions are recorded on every row and in every summary. The revised score is reported alongside the strict score throughout and described as a defined metric revision, never as a correction of the original.</w:t>
      </w:r>
    </w:p>
    <w:p>
      <w:pPr>
        <w:pStyle w:val="Heading2"/>
        <w:spacing w:after="100" w:before="240"/>
      </w:pPr>
      <w:r>
        <w:rPr>
          <w:rFonts w:ascii="Calibri" w:cs="Calibri" w:eastAsia="Calibri" w:hAnsi="Calibri"/>
          <w:b/>
          <w:bCs/>
          <w:color w:val="2E5496"/>
          <w:sz w:val="26"/>
          <w:szCs w:val="26"/>
        </w:rPr>
        <w:t xml:space="preserve">3.5 Verifier expression-extraction defect</w:t>
      </w:r>
    </w:p>
    <w:p>
      <w:pPr>
        <w:spacing w:after="120" w:line="276"/>
        <w:jc w:val="both"/>
      </w:pPr>
      <w:r>
        <w:rPr>
          <w:rFonts w:ascii="Calibri" w:cs="Calibri" w:eastAsia="Calibri" w:hAnsi="Calibri"/>
          <w:sz w:val="22"/>
          <w:szCs w:val="22"/>
        </w:rPr>
        <w:t xml:space="preserve">The verifier failed to parse expressions immediately following a sentence boundary, because a full stop serves as both decimal point and sentence terminator. The span "Total facilities = 56.0. 8.1 / 56.0 * 100" was extracted as an invalid fragment beginning "56.0. 8.1", so a correct calculation was reported as unverifiable. The fix retains the last fragment that still constitutes a valid expression. Re-scoring all fifty stored responses confirmed the pass rate was unchanged at 0.5600, so no reported figure moved, while extraction failures fell to zero.</w:t>
      </w:r>
    </w:p>
    <w:p>
      <w:pPr>
        <w:pStyle w:val="Heading2"/>
        <w:spacing w:after="100" w:before="240"/>
      </w:pPr>
      <w:r>
        <w:rPr>
          <w:rFonts w:ascii="Calibri" w:cs="Calibri" w:eastAsia="Calibri" w:hAnsi="Calibri"/>
          <w:b/>
          <w:bCs/>
          <w:color w:val="2E5496"/>
          <w:sz w:val="26"/>
          <w:szCs w:val="26"/>
        </w:rPr>
        <w:t xml:space="preserve">3.6 Retrieval modifications tested and reverted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rPr>
          <w:tblHeader/>
        </w:trPr>
        <w:tc>
          <w:tcPr>
            <w:tcW w:type="dxa" w:w="24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Attempt</w:t>
            </w:r>
          </w:p>
        </w:tc>
        <w:tc>
          <w:tcPr>
            <w:tcW w:type="dxa" w:w="54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Measured outcome</w:t>
            </w:r>
          </w:p>
        </w:tc>
        <w:tc>
          <w:tcPr>
            <w:tcW w:type="dxa" w:w="15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Action</w:t>
            </w:r>
          </w:p>
        </w:tc>
      </w:tr>
      <w:tr>
        <w:tc>
          <w:tcPr>
            <w:tcW w:type="dxa" w:w="2400"/>
            <w:tcMar>
              <w:top w:type="dxa" w:w="50"/>
              <w:left w:type="dxa" w:w="90"/>
              <w:bottom w:type="dxa" w:w="50"/>
              <w:right w:type="dxa" w:w="90"/>
            </w:tcMar>
          </w:tcPr>
          <w:p>
            <w:pPr>
              <w:spacing w:after="0" w:line="250"/>
              <w:jc w:val="left"/>
            </w:pPr>
            <w:r>
              <w:rPr>
                <w:rFonts w:ascii="Calibri" w:cs="Calibri" w:eastAsia="Calibri" w:hAnsi="Calibri"/>
                <w:sz w:val="19"/>
                <w:szCs w:val="19"/>
              </w:rPr>
              <w:t xml:space="preserve">Retrieval depth 8 to 12</w:t>
            </w:r>
          </w:p>
        </w:tc>
        <w:tc>
          <w:tcPr>
            <w:tcW w:type="dxa" w:w="5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Did not fix its target item: the required row still ranked outside the top twelve of twenty-five chunks, out-ranked by eighteen near-duplicate prose sentences. Perturbed every prompt: eight answers flipped to correct, six to incorrect</w:t>
            </w:r>
          </w:p>
        </w:tc>
        <w:tc>
          <w:tcPr>
            <w:tcW w:type="dxa" w:w="1560"/>
            <w:tcMar>
              <w:top w:type="dxa" w:w="50"/>
              <w:left w:type="dxa" w:w="90"/>
              <w:bottom w:type="dxa" w:w="50"/>
              <w:right w:type="dxa" w:w="90"/>
            </w:tcMar>
          </w:tcPr>
          <w:p>
            <w:pPr>
              <w:spacing w:after="0" w:line="250"/>
              <w:jc w:val="center"/>
            </w:pPr>
            <w:r>
              <w:rPr>
                <w:rFonts w:ascii="Calibri" w:cs="Calibri" w:eastAsia="Calibri" w:hAnsi="Calibri"/>
                <w:sz w:val="19"/>
                <w:szCs w:val="19"/>
              </w:rPr>
              <w:t xml:space="preserve">Reverted</w:t>
            </w:r>
          </w:p>
        </w:tc>
      </w:tr>
      <w:tr>
        <w:tc>
          <w:tcPr>
            <w:tcW w:type="dxa" w:w="24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Guaranteed full-table inclusion below a row threshold</w:t>
            </w:r>
          </w:p>
        </w:tc>
        <w:tc>
          <w:tcPr>
            <w:tcW w:type="dxa" w:w="54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Assumption that this affected only small-table documents was unverified and false; accuracy fell from 0.340 to 0.300</w:t>
            </w:r>
          </w:p>
        </w:tc>
        <w:tc>
          <w:tcPr>
            <w:tcW w:type="dxa" w:w="15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Reverted</w:t>
            </w:r>
          </w:p>
        </w:tc>
      </w:tr>
    </w:tbl>
    <w:p>
      <w:pPr>
        <w:spacing w:after="120" w:line="276"/>
        <w:jc w:val="both"/>
      </w:pPr>
      <w:r>
        <w:rPr>
          <w:rFonts w:ascii="Calibri" w:cs="Calibri" w:eastAsia="Calibri" w:hAnsi="Calibri"/>
          <w:b/>
          <w:bCs/>
          <w:sz w:val="22"/>
          <w:szCs w:val="22"/>
        </w:rPr>
        <w:t xml:space="preserve">These two attempts established the perturbation floor: approximately 28% of answers (14 of 50) changed between two runs differing only in retrieval depth, a variable unrelated to the questions themselves. Experiment 5 later explained why neither could have succeeded, since the total headroom available to retrieval in this configuration is eight accuracy points.</w:t>
      </w:r>
    </w:p>
    <w:p>
      <w:r>
        <w:br w:type="page"/>
      </w:r>
    </w:p>
    <w:p>
      <w:pPr>
        <w:pStyle w:val="Heading1"/>
        <w:spacing w:after="140" w:before="320"/>
      </w:pPr>
      <w:r>
        <w:rPr>
          <w:rFonts w:ascii="Calibri" w:cs="Calibri" w:eastAsia="Calibri" w:hAnsi="Calibri"/>
          <w:b/>
          <w:bCs/>
          <w:color w:val="1F3864"/>
          <w:sz w:val="32"/>
          <w:szCs w:val="32"/>
        </w:rPr>
        <w:t xml:space="preserve">4. Complete Experimental Results</w:t>
      </w:r>
    </w:p>
    <w:p>
      <w:pPr>
        <w:pStyle w:val="Heading2"/>
        <w:spacing w:after="100" w:before="240"/>
      </w:pPr>
      <w:r>
        <w:rPr>
          <w:rFonts w:ascii="Calibri" w:cs="Calibri" w:eastAsia="Calibri" w:hAnsi="Calibri"/>
          <w:b/>
          <w:bCs/>
          <w:color w:val="2E5496"/>
          <w:sz w:val="26"/>
          <w:szCs w:val="26"/>
        </w:rPr>
        <w:t xml:space="preserve">4.1 Experiment 1 — Baseline reliability profile (n =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900"/>
        <w:gridCol w:w="2460"/>
      </w:tblGrid>
      <w:tr>
        <w:trPr>
          <w:tblHeader/>
        </w:trPr>
        <w:tc>
          <w:tcPr>
            <w:tcW w:type="dxa" w:w="40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Metric</w:t>
            </w:r>
          </w:p>
        </w:tc>
        <w:tc>
          <w:tcPr>
            <w:tcW w:type="dxa" w:w="29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Value</w:t>
            </w:r>
          </w:p>
        </w:tc>
        <w:tc>
          <w:tcPr>
            <w:tcW w:type="dxa" w:w="24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95% CI (Wilson)</w:t>
            </w:r>
          </w:p>
        </w:tc>
      </w:tr>
      <w:tr>
        <w:tc>
          <w:tcPr>
            <w:tcW w:type="dxa" w:w="4000"/>
            <w:tcMar>
              <w:top w:type="dxa" w:w="50"/>
              <w:left w:type="dxa" w:w="90"/>
              <w:bottom w:type="dxa" w:w="50"/>
              <w:right w:type="dxa" w:w="90"/>
            </w:tcMar>
          </w:tcPr>
          <w:p>
            <w:pPr>
              <w:spacing w:after="0" w:line="250"/>
              <w:jc w:val="left"/>
            </w:pPr>
            <w:r>
              <w:rPr>
                <w:rFonts w:ascii="Calibri" w:cs="Calibri" w:eastAsia="Calibri" w:hAnsi="Calibri"/>
                <w:sz w:val="19"/>
                <w:szCs w:val="19"/>
              </w:rPr>
              <w:t xml:space="preserve">Execution accuracy</w:t>
            </w:r>
          </w:p>
        </w:tc>
        <w:tc>
          <w:tcPr>
            <w:tcW w:type="dxa" w:w="2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0.3400 (17/50)</w:t>
            </w:r>
          </w:p>
        </w:tc>
        <w:tc>
          <w:tcPr>
            <w:tcW w:type="dxa" w:w="2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[0.224, 0.478]</w:t>
            </w:r>
          </w:p>
        </w:tc>
      </w:tr>
      <w:tr>
        <w:tc>
          <w:tcPr>
            <w:tcW w:type="dxa" w:w="40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NESS — strict</w:t>
            </w:r>
          </w:p>
        </w:tc>
        <w:tc>
          <w:tcPr>
            <w:tcW w:type="dxa" w:w="2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0.7145</w:t>
            </w:r>
          </w:p>
        </w:tc>
        <w:tc>
          <w:tcPr>
            <w:tcW w:type="dxa" w:w="2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r>
        <w:tc>
          <w:tcPr>
            <w:tcW w:type="dxa" w:w="4000"/>
            <w:tcMar>
              <w:top w:type="dxa" w:w="50"/>
              <w:left w:type="dxa" w:w="90"/>
              <w:bottom w:type="dxa" w:w="50"/>
              <w:right w:type="dxa" w:w="90"/>
            </w:tcMar>
          </w:tcPr>
          <w:p>
            <w:pPr>
              <w:spacing w:after="0" w:line="250"/>
              <w:jc w:val="left"/>
            </w:pPr>
            <w:r>
              <w:rPr>
                <w:rFonts w:ascii="Calibri" w:cs="Calibri" w:eastAsia="Calibri" w:hAnsi="Calibri"/>
                <w:sz w:val="19"/>
                <w:szCs w:val="19"/>
              </w:rPr>
              <w:t xml:space="preserve">NESS — revised</w:t>
            </w:r>
          </w:p>
        </w:tc>
        <w:tc>
          <w:tcPr>
            <w:tcW w:type="dxa" w:w="2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0.9085</w:t>
            </w:r>
          </w:p>
        </w:tc>
        <w:tc>
          <w:tcPr>
            <w:tcW w:type="dxa" w:w="2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r>
        <w:tc>
          <w:tcPr>
            <w:tcW w:type="dxa" w:w="40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Hallucination rate (strict NESS)</w:t>
            </w:r>
          </w:p>
        </w:tc>
        <w:tc>
          <w:tcPr>
            <w:tcW w:type="dxa" w:w="2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0.0800 (4/50)</w:t>
            </w:r>
          </w:p>
        </w:tc>
        <w:tc>
          <w:tcPr>
            <w:tcW w:type="dxa" w:w="2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[0.032, 0.188]</w:t>
            </w:r>
          </w:p>
        </w:tc>
      </w:tr>
      <w:tr>
        <w:tc>
          <w:tcPr>
            <w:tcW w:type="dxa" w:w="4000"/>
            <w:tcMar>
              <w:top w:type="dxa" w:w="50"/>
              <w:left w:type="dxa" w:w="90"/>
              <w:bottom w:type="dxa" w:w="50"/>
              <w:right w:type="dxa" w:w="90"/>
            </w:tcMar>
          </w:tcPr>
          <w:p>
            <w:pPr>
              <w:spacing w:after="0" w:line="250"/>
              <w:jc w:val="left"/>
            </w:pPr>
            <w:r>
              <w:rPr>
                <w:rFonts w:ascii="Calibri" w:cs="Calibri" w:eastAsia="Calibri" w:hAnsi="Calibri"/>
                <w:sz w:val="19"/>
                <w:szCs w:val="19"/>
              </w:rPr>
              <w:t xml:space="preserve">Invalid-format rate</w:t>
            </w:r>
          </w:p>
        </w:tc>
        <w:tc>
          <w:tcPr>
            <w:tcW w:type="dxa" w:w="2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0.0000</w:t>
            </w:r>
          </w:p>
        </w:tc>
        <w:tc>
          <w:tcPr>
            <w:tcW w:type="dxa" w:w="2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r>
        <w:tc>
          <w:tcPr>
            <w:tcW w:type="dxa" w:w="40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Verifier pass rate (gold-free)</w:t>
            </w:r>
          </w:p>
        </w:tc>
        <w:tc>
          <w:tcPr>
            <w:tcW w:type="dxa" w:w="2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0.5600</w:t>
            </w:r>
          </w:p>
        </w:tc>
        <w:tc>
          <w:tcPr>
            <w:tcW w:type="dxa" w:w="2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r>
        <w:tc>
          <w:tcPr>
            <w:tcW w:type="dxa" w:w="4000"/>
            <w:tcMar>
              <w:top w:type="dxa" w:w="50"/>
              <w:left w:type="dxa" w:w="90"/>
              <w:bottom w:type="dxa" w:w="50"/>
              <w:right w:type="dxa" w:w="90"/>
            </w:tcMar>
          </w:tcPr>
          <w:p>
            <w:pPr>
              <w:spacing w:after="0" w:line="250"/>
              <w:jc w:val="left"/>
            </w:pPr>
            <w:r>
              <w:rPr>
                <w:rFonts w:ascii="Calibri" w:cs="Calibri" w:eastAsia="Calibri" w:hAnsi="Calibri"/>
                <w:sz w:val="19"/>
                <w:szCs w:val="19"/>
              </w:rPr>
              <w:t xml:space="preserve">Mean self-reported confidence</w:t>
            </w:r>
          </w:p>
        </w:tc>
        <w:tc>
          <w:tcPr>
            <w:tcW w:type="dxa" w:w="2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0.8960</w:t>
            </w:r>
          </w:p>
        </w:tc>
        <w:tc>
          <w:tcPr>
            <w:tcW w:type="dxa" w:w="2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r>
        <w:tc>
          <w:tcPr>
            <w:tcW w:type="dxa" w:w="40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ECE of self-reported confidence</w:t>
            </w:r>
          </w:p>
        </w:tc>
        <w:tc>
          <w:tcPr>
            <w:tcW w:type="dxa" w:w="2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0.5560</w:t>
            </w:r>
          </w:p>
        </w:tc>
        <w:tc>
          <w:tcPr>
            <w:tcW w:type="dxa" w:w="2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r>
        <w:tc>
          <w:tcPr>
            <w:tcW w:type="dxa" w:w="4000"/>
            <w:tcMar>
              <w:top w:type="dxa" w:w="50"/>
              <w:left w:type="dxa" w:w="90"/>
              <w:bottom w:type="dxa" w:w="50"/>
              <w:right w:type="dxa" w:w="90"/>
            </w:tcMar>
          </w:tcPr>
          <w:p>
            <w:pPr>
              <w:spacing w:after="0" w:line="250"/>
              <w:jc w:val="left"/>
            </w:pPr>
            <w:r>
              <w:rPr>
                <w:rFonts w:ascii="Calibri" w:cs="Calibri" w:eastAsia="Calibri" w:hAnsi="Calibri"/>
                <w:sz w:val="19"/>
                <w:szCs w:val="19"/>
              </w:rPr>
              <w:t xml:space="preserve">ONRS (strict NESS)</w:t>
            </w:r>
          </w:p>
        </w:tc>
        <w:tc>
          <w:tcPr>
            <w:tcW w:type="dxa" w:w="2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0.5891</w:t>
            </w:r>
          </w:p>
        </w:tc>
        <w:tc>
          <w:tcPr>
            <w:tcW w:type="dxa" w:w="2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r>
        <w:tc>
          <w:tcPr>
            <w:tcW w:type="dxa" w:w="40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ONRS (revised NESS)</w:t>
            </w:r>
          </w:p>
        </w:tc>
        <w:tc>
          <w:tcPr>
            <w:tcW w:type="dxa" w:w="2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0.6634</w:t>
            </w:r>
          </w:p>
        </w:tc>
        <w:tc>
          <w:tcPr>
            <w:tcW w:type="dxa" w:w="2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bl>
    <w:p>
      <w:pPr>
        <w:pStyle w:val="Heading3"/>
        <w:spacing w:after="80" w:before="180"/>
      </w:pPr>
      <w:r>
        <w:rPr>
          <w:rFonts w:ascii="Calibri" w:cs="Calibri" w:eastAsia="Calibri" w:hAnsi="Calibri"/>
          <w:b/>
          <w:bCs/>
          <w:color w:val="404040"/>
          <w:sz w:val="23"/>
          <w:szCs w:val="23"/>
        </w:rPr>
        <w:t xml:space="preserve">Verifier outcome decomposition</w:t>
      </w:r>
    </w:p>
    <w:p>
      <w:pPr>
        <w:spacing w:after="120" w:line="276"/>
        <w:jc w:val="both"/>
      </w:pPr>
      <w:r>
        <w:rPr>
          <w:rFonts w:ascii="Calibri" w:cs="Calibri" w:eastAsia="Calibri" w:hAnsi="Calibri"/>
          <w:sz w:val="22"/>
          <w:szCs w:val="22"/>
        </w:rPr>
        <w:t xml:space="preserve">The aggregate pass rate conceals three distinct failure conditions, and reporting it alone would materially overstate the arithmetic error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900"/>
        <w:gridCol w:w="900"/>
        <w:gridCol w:w="4460"/>
      </w:tblGrid>
      <w:tr>
        <w:trPr>
          <w:tblHeader/>
        </w:trPr>
        <w:tc>
          <w:tcPr>
            <w:tcW w:type="dxa" w:w="31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Outcome</w:t>
            </w:r>
          </w:p>
        </w:tc>
        <w:tc>
          <w:tcPr>
            <w:tcW w:type="dxa" w:w="9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Count</w:t>
            </w:r>
          </w:p>
        </w:tc>
        <w:tc>
          <w:tcPr>
            <w:tcW w:type="dxa" w:w="9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Share</w:t>
            </w:r>
          </w:p>
        </w:tc>
        <w:tc>
          <w:tcPr>
            <w:tcW w:type="dxa" w:w="44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Meaning</w:t>
            </w:r>
          </w:p>
        </w:tc>
      </w:tr>
      <w:tr>
        <w:tc>
          <w:tcPr>
            <w:tcW w:type="dxa" w:w="3100"/>
            <w:tcMar>
              <w:top w:type="dxa" w:w="50"/>
              <w:left w:type="dxa" w:w="90"/>
              <w:bottom w:type="dxa" w:w="50"/>
              <w:right w:type="dxa" w:w="90"/>
            </w:tcMar>
          </w:tcPr>
          <w:p>
            <w:pPr>
              <w:spacing w:after="0" w:line="250"/>
              <w:jc w:val="left"/>
            </w:pPr>
            <w:r>
              <w:rPr>
                <w:rFonts w:ascii="Calibri" w:cs="Calibri" w:eastAsia="Calibri" w:hAnsi="Calibri"/>
                <w:sz w:val="19"/>
                <w:szCs w:val="19"/>
              </w:rPr>
              <w:t xml:space="preserve">Verified self-consistent</w:t>
            </w:r>
          </w:p>
        </w:tc>
        <w:tc>
          <w:tcPr>
            <w:tcW w:type="dxa" w:w="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28</w:t>
            </w:r>
          </w:p>
        </w:tc>
        <w:tc>
          <w:tcPr>
            <w:tcW w:type="dxa" w:w="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56%</w:t>
            </w:r>
          </w:p>
        </w:tc>
        <w:tc>
          <w:tcPr>
            <w:tcW w:type="dxa" w:w="4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Stated reasoning recomputes to the stated answer</w:t>
            </w:r>
          </w:p>
        </w:tc>
      </w:tr>
      <w:tr>
        <w:tc>
          <w:tcPr>
            <w:tcW w:type="dxa" w:w="31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Operand not grounded in evidence</w:t>
            </w:r>
          </w:p>
        </w:tc>
        <w:tc>
          <w:tcPr>
            <w:tcW w:type="dxa" w:w="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10</w:t>
            </w:r>
          </w:p>
        </w:tc>
        <w:tc>
          <w:tcPr>
            <w:tcW w:type="dxa" w:w="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20%</w:t>
            </w:r>
          </w:p>
        </w:tc>
        <w:tc>
          <w:tcPr>
            <w:tcW w:type="dxa" w:w="4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A number used in the calculation is not traceable to the evidence</w:t>
            </w:r>
          </w:p>
        </w:tc>
      </w:tr>
      <w:tr>
        <w:tc>
          <w:tcPr>
            <w:tcW w:type="dxa" w:w="3100"/>
            <w:tcMar>
              <w:top w:type="dxa" w:w="50"/>
              <w:left w:type="dxa" w:w="90"/>
              <w:bottom w:type="dxa" w:w="50"/>
              <w:right w:type="dxa" w:w="90"/>
            </w:tcMar>
          </w:tcPr>
          <w:p>
            <w:pPr>
              <w:spacing w:after="0" w:line="250"/>
              <w:jc w:val="left"/>
            </w:pPr>
            <w:r>
              <w:rPr>
                <w:rFonts w:ascii="Calibri" w:cs="Calibri" w:eastAsia="Calibri" w:hAnsi="Calibri"/>
                <w:sz w:val="19"/>
                <w:szCs w:val="19"/>
              </w:rPr>
              <w:t xml:space="preserve">No checkable expression stated</w:t>
            </w:r>
          </w:p>
        </w:tc>
        <w:tc>
          <w:tcPr>
            <w:tcW w:type="dxa" w:w="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6</w:t>
            </w:r>
          </w:p>
        </w:tc>
        <w:tc>
          <w:tcPr>
            <w:tcW w:type="dxa" w:w="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12%</w:t>
            </w:r>
          </w:p>
        </w:tc>
        <w:tc>
          <w:tcPr>
            <w:tcW w:type="dxa" w:w="4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The response gave an answer without showing arithmetic</w:t>
            </w:r>
          </w:p>
        </w:tc>
      </w:tr>
      <w:tr>
        <w:tc>
          <w:tcPr>
            <w:tcW w:type="dxa" w:w="31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Genuine arithmetic mismatch</w:t>
            </w:r>
          </w:p>
        </w:tc>
        <w:tc>
          <w:tcPr>
            <w:tcW w:type="dxa" w:w="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6</w:t>
            </w:r>
          </w:p>
        </w:tc>
        <w:tc>
          <w:tcPr>
            <w:tcW w:type="dxa" w:w="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12%</w:t>
            </w:r>
          </w:p>
        </w:tc>
        <w:tc>
          <w:tcPr>
            <w:tcW w:type="dxa" w:w="4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The model’s own calculation does not produce its own answer</w:t>
            </w:r>
          </w:p>
        </w:tc>
      </w:tr>
    </w:tbl>
    <w:p>
      <w:pPr>
        <w:spacing w:after="120" w:line="276"/>
        <w:jc w:val="both"/>
      </w:pPr>
      <w:r>
        <w:rPr>
          <w:rFonts w:ascii="Calibri" w:cs="Calibri" w:eastAsia="Calibri" w:hAnsi="Calibri"/>
          <w:b/>
          <w:bCs/>
          <w:sz w:val="22"/>
          <w:szCs w:val="22"/>
        </w:rPr>
        <w:t xml:space="preserve">Only the final category is an arithmetic error in the strict sense. An earlier draft of the report described the entire 44% as a recomputation failure; that claim was corrected once this decomposition was produced.</w:t>
      </w:r>
    </w:p>
    <w:p>
      <w:pPr>
        <w:pStyle w:val="Heading3"/>
        <w:spacing w:after="80" w:before="180"/>
      </w:pPr>
      <w:r>
        <w:rPr>
          <w:rFonts w:ascii="Calibri" w:cs="Calibri" w:eastAsia="Calibri" w:hAnsi="Calibri"/>
          <w:b/>
          <w:bCs/>
          <w:color w:val="404040"/>
          <w:sz w:val="23"/>
          <w:szCs w:val="23"/>
        </w:rPr>
        <w:t xml:space="preserve">Error taxonomy with named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tblHeader/>
        </w:trPr>
        <w:tc>
          <w:tcPr>
            <w:tcW w:type="dxa" w:w="19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Category</w:t>
            </w:r>
          </w:p>
        </w:tc>
        <w:tc>
          <w:tcPr>
            <w:tcW w:type="dxa" w:w="27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Item</w:t>
            </w:r>
          </w:p>
        </w:tc>
        <w:tc>
          <w:tcPr>
            <w:tcW w:type="dxa" w:w="47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Detail</w:t>
            </w:r>
          </w:p>
        </w:tc>
      </w:tr>
      <w:tr>
        <w:tc>
          <w:tcPr>
            <w:tcW w:type="dxa" w:w="1900"/>
            <w:tcMar>
              <w:top w:type="dxa" w:w="50"/>
              <w:left w:type="dxa" w:w="90"/>
              <w:bottom w:type="dxa" w:w="50"/>
              <w:right w:type="dxa" w:w="90"/>
            </w:tcMar>
          </w:tcPr>
          <w:p>
            <w:pPr>
              <w:spacing w:after="0" w:line="250"/>
              <w:jc w:val="left"/>
            </w:pPr>
            <w:r>
              <w:rPr>
                <w:rFonts w:ascii="Calibri" w:cs="Calibri" w:eastAsia="Calibri" w:hAnsi="Calibri"/>
                <w:sz w:val="19"/>
                <w:szCs w:val="19"/>
              </w:rPr>
              <w:t xml:space="preserve">Arithmetic slip</w:t>
            </w:r>
          </w:p>
        </w:tc>
        <w:tc>
          <w:tcPr>
            <w:tcW w:type="dxa" w:w="2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CME/2017/page_97.pdf-5</w:t>
            </w:r>
          </w:p>
        </w:tc>
        <w:tc>
          <w:tcPr>
            <w:tcW w:type="dxa" w:w="4760"/>
            <w:tcMar>
              <w:top w:type="dxa" w:w="50"/>
              <w:left w:type="dxa" w:w="90"/>
              <w:bottom w:type="dxa" w:w="50"/>
              <w:right w:type="dxa" w:w="90"/>
            </w:tcMar>
          </w:tcPr>
          <w:p>
            <w:pPr>
              <w:spacing w:after="0" w:line="250"/>
              <w:jc w:val="center"/>
            </w:pPr>
            <w:r>
              <w:rPr>
                <w:rFonts w:ascii="Calibri" w:cs="Calibri" w:eastAsia="Calibri" w:hAnsi="Calibri"/>
                <w:sz w:val="19"/>
                <w:szCs w:val="19"/>
              </w:rPr>
              <w:t xml:space="preserve">339235 minus 338240 computed as 9935 rather than 995; flagged unverified, uncorrected by the single retry</w:t>
            </w:r>
          </w:p>
        </w:tc>
      </w:tr>
      <w:tr>
        <w:tc>
          <w:tcPr>
            <w:tcW w:type="dxa" w:w="1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Omitted unit</w:t>
            </w:r>
          </w:p>
        </w:tc>
        <w:tc>
          <w:tcPr>
            <w:tcW w:type="dxa" w:w="2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ETR/2004/page_213.pdf-2</w:t>
            </w:r>
          </w:p>
        </w:tc>
        <w:tc>
          <w:tcPr>
            <w:tcW w:type="dxa" w:w="47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(59.1/98.0) x 100 = 60.31 computed correctly, reported without the percentage sign</w:t>
            </w:r>
          </w:p>
        </w:tc>
      </w:tr>
      <w:tr>
        <w:tc>
          <w:tcPr>
            <w:tcW w:type="dxa" w:w="1900"/>
            <w:tcMar>
              <w:top w:type="dxa" w:w="50"/>
              <w:left w:type="dxa" w:w="90"/>
              <w:bottom w:type="dxa" w:w="50"/>
              <w:right w:type="dxa" w:w="90"/>
            </w:tcMar>
          </w:tcPr>
          <w:p>
            <w:pPr>
              <w:spacing w:after="0" w:line="250"/>
              <w:jc w:val="left"/>
            </w:pPr>
            <w:r>
              <w:rPr>
                <w:rFonts w:ascii="Calibri" w:cs="Calibri" w:eastAsia="Calibri" w:hAnsi="Calibri"/>
                <w:sz w:val="19"/>
                <w:szCs w:val="19"/>
              </w:rPr>
              <w:t xml:space="preserve">Omitted unit</w:t>
            </w:r>
          </w:p>
        </w:tc>
        <w:tc>
          <w:tcPr>
            <w:tcW w:type="dxa" w:w="2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MSI/2006/page_61.pdf-3</w:t>
            </w:r>
          </w:p>
        </w:tc>
        <w:tc>
          <w:tcPr>
            <w:tcW w:type="dxa" w:w="4760"/>
            <w:tcMar>
              <w:top w:type="dxa" w:w="50"/>
              <w:left w:type="dxa" w:w="90"/>
              <w:bottom w:type="dxa" w:w="50"/>
              <w:right w:type="dxa" w:w="90"/>
            </w:tcMar>
          </w:tcPr>
          <w:p>
            <w:pPr>
              <w:spacing w:after="0" w:line="250"/>
              <w:jc w:val="center"/>
            </w:pPr>
            <w:r>
              <w:rPr>
                <w:rFonts w:ascii="Calibri" w:cs="Calibri" w:eastAsia="Calibri" w:hAnsi="Calibri"/>
                <w:sz w:val="19"/>
                <w:szCs w:val="19"/>
              </w:rPr>
              <w:t xml:space="preserve">(1451/4134) x 100 = 35.11 computed correctly, reported without the percentage sign</w:t>
            </w:r>
          </w:p>
        </w:tc>
      </w:tr>
      <w:tr>
        <w:tc>
          <w:tcPr>
            <w:tcW w:type="dxa" w:w="1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Wrong column</w:t>
            </w:r>
          </w:p>
        </w:tc>
        <w:tc>
          <w:tcPr>
            <w:tcW w:type="dxa" w:w="2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ZBH/2003/page_40.pdf-1</w:t>
            </w:r>
          </w:p>
        </w:tc>
        <w:tc>
          <w:tcPr>
            <w:tcW w:type="dxa" w:w="47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Required 2003 (51.2%) and 2001 (47.4%); used 2002 (48.3%)</w:t>
            </w:r>
          </w:p>
        </w:tc>
      </w:tr>
      <w:tr>
        <w:tc>
          <w:tcPr>
            <w:tcW w:type="dxa" w:w="1900"/>
            <w:tcMar>
              <w:top w:type="dxa" w:w="50"/>
              <w:left w:type="dxa" w:w="90"/>
              <w:bottom w:type="dxa" w:w="50"/>
              <w:right w:type="dxa" w:w="90"/>
            </w:tcMar>
          </w:tcPr>
          <w:p>
            <w:pPr>
              <w:spacing w:after="0" w:line="250"/>
              <w:jc w:val="left"/>
            </w:pPr>
            <w:r>
              <w:rPr>
                <w:rFonts w:ascii="Calibri" w:cs="Calibri" w:eastAsia="Calibri" w:hAnsi="Calibri"/>
                <w:sz w:val="19"/>
                <w:szCs w:val="19"/>
              </w:rPr>
              <w:t xml:space="preserve">Wrong formula</w:t>
            </w:r>
          </w:p>
        </w:tc>
        <w:tc>
          <w:tcPr>
            <w:tcW w:type="dxa" w:w="2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JPM/2008/page_85.pdf-3</w:t>
            </w:r>
          </w:p>
        </w:tc>
        <w:tc>
          <w:tcPr>
            <w:tcW w:type="dxa" w:w="4760"/>
            <w:tcMar>
              <w:top w:type="dxa" w:w="50"/>
              <w:left w:type="dxa" w:w="90"/>
              <w:bottom w:type="dxa" w:w="50"/>
              <w:right w:type="dxa" w:w="90"/>
            </w:tcMar>
          </w:tcPr>
          <w:p>
            <w:pPr>
              <w:spacing w:after="0" w:line="250"/>
              <w:jc w:val="center"/>
            </w:pPr>
            <w:r>
              <w:rPr>
                <w:rFonts w:ascii="Calibri" w:cs="Calibri" w:eastAsia="Calibri" w:hAnsi="Calibri"/>
                <w:sz w:val="19"/>
                <w:szCs w:val="19"/>
              </w:rPr>
              <w:t xml:space="preserve">Incorrect denominator selected for a capital ratio</w:t>
            </w:r>
          </w:p>
        </w:tc>
      </w:tr>
      <w:tr>
        <w:tc>
          <w:tcPr>
            <w:tcW w:type="dxa" w:w="1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Retrieval miss</w:t>
            </w:r>
          </w:p>
        </w:tc>
        <w:tc>
          <w:tcPr>
            <w:tcW w:type="dxa" w:w="2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AMT/2005/page_105.pdf-2</w:t>
            </w:r>
          </w:p>
        </w:tc>
        <w:tc>
          <w:tcPr>
            <w:tcW w:type="dxa" w:w="47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Precise row (2,157,503 / 2,418,012) never entered top-k; rounded prose used instead</w:t>
            </w:r>
          </w:p>
        </w:tc>
      </w:tr>
      <w:tr>
        <w:tc>
          <w:tcPr>
            <w:tcW w:type="dxa" w:w="1900"/>
            <w:tcMar>
              <w:top w:type="dxa" w:w="50"/>
              <w:left w:type="dxa" w:w="90"/>
              <w:bottom w:type="dxa" w:w="50"/>
              <w:right w:type="dxa" w:w="90"/>
            </w:tcMar>
          </w:tcPr>
          <w:p>
            <w:pPr>
              <w:spacing w:after="0" w:line="250"/>
              <w:jc w:val="left"/>
            </w:pPr>
            <w:r>
              <w:rPr>
                <w:rFonts w:ascii="Calibri" w:cs="Calibri" w:eastAsia="Calibri" w:hAnsi="Calibri"/>
                <w:sz w:val="19"/>
                <w:szCs w:val="19"/>
              </w:rPr>
              <w:t xml:space="preserve">Near-duplicate</w:t>
            </w:r>
          </w:p>
        </w:tc>
        <w:tc>
          <w:tcPr>
            <w:tcW w:type="dxa" w:w="2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SPGI/2018/page_74.pdf-1</w:t>
            </w:r>
          </w:p>
        </w:tc>
        <w:tc>
          <w:tcPr>
            <w:tcW w:type="dxa" w:w="4760"/>
            <w:tcMar>
              <w:top w:type="dxa" w:w="50"/>
              <w:left w:type="dxa" w:w="90"/>
              <w:bottom w:type="dxa" w:w="50"/>
              <w:right w:type="dxa" w:w="90"/>
            </w:tcMar>
          </w:tcPr>
          <w:p>
            <w:pPr>
              <w:spacing w:after="0" w:line="250"/>
              <w:jc w:val="center"/>
            </w:pPr>
            <w:r>
              <w:rPr>
                <w:rFonts w:ascii="Calibri" w:cs="Calibri" w:eastAsia="Calibri" w:hAnsi="Calibri"/>
                <w:sz w:val="19"/>
                <w:szCs w:val="19"/>
              </w:rPr>
              <w:t xml:space="preserve">Two pension trusts each report a value pair; the wrong pair was used</w:t>
            </w:r>
          </w:p>
        </w:tc>
      </w:tr>
      <w:tr>
        <w:tc>
          <w:tcPr>
            <w:tcW w:type="dxa" w:w="1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Partial aggregation</w:t>
            </w:r>
          </w:p>
        </w:tc>
        <w:tc>
          <w:tcPr>
            <w:tcW w:type="dxa" w:w="2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AON/2010/page_28.pdf-1</w:t>
            </w:r>
          </w:p>
        </w:tc>
        <w:tc>
          <w:tcPr>
            <w:tcW w:type="dxa" w:w="47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Two properties expire in 2020; both retrieved, only the first used</w:t>
            </w:r>
          </w:p>
        </w:tc>
      </w:tr>
      <w:tr>
        <w:tc>
          <w:tcPr>
            <w:tcW w:type="dxa" w:w="1900"/>
            <w:tcMar>
              <w:top w:type="dxa" w:w="50"/>
              <w:left w:type="dxa" w:w="90"/>
              <w:bottom w:type="dxa" w:w="50"/>
              <w:right w:type="dxa" w:w="90"/>
            </w:tcMar>
          </w:tcPr>
          <w:p>
            <w:pPr>
              <w:spacing w:after="0" w:line="250"/>
              <w:jc w:val="left"/>
            </w:pPr>
            <w:r>
              <w:rPr>
                <w:rFonts w:ascii="Calibri" w:cs="Calibri" w:eastAsia="Calibri" w:hAnsi="Calibri"/>
                <w:sz w:val="19"/>
                <w:szCs w:val="19"/>
              </w:rPr>
              <w:t xml:space="preserve">Sign error</w:t>
            </w:r>
          </w:p>
        </w:tc>
        <w:tc>
          <w:tcPr>
            <w:tcW w:type="dxa" w:w="2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PM/2015/page_127.pdf-4</w:t>
            </w:r>
          </w:p>
        </w:tc>
        <w:tc>
          <w:tcPr>
            <w:tcW w:type="dxa" w:w="4760"/>
            <w:tcMar>
              <w:top w:type="dxa" w:w="50"/>
              <w:left w:type="dxa" w:w="90"/>
              <w:bottom w:type="dxa" w:w="50"/>
              <w:right w:type="dxa" w:w="90"/>
            </w:tcMar>
          </w:tcPr>
          <w:p>
            <w:pPr>
              <w:spacing w:after="0" w:line="250"/>
              <w:jc w:val="center"/>
            </w:pPr>
            <w:r>
              <w:rPr>
                <w:rFonts w:ascii="Calibri" w:cs="Calibri" w:eastAsia="Calibri" w:hAnsi="Calibri"/>
                <w:sz w:val="19"/>
                <w:szCs w:val="19"/>
              </w:rPr>
              <w:t xml:space="preserve">Three accounting negatives averaged as positives: +4088.33 rather than −4088.33</w:t>
            </w:r>
          </w:p>
        </w:tc>
      </w:tr>
      <w:tr>
        <w:tc>
          <w:tcPr>
            <w:tcW w:type="dxa" w:w="1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Reference issue</w:t>
            </w:r>
          </w:p>
        </w:tc>
        <w:tc>
          <w:tcPr>
            <w:tcW w:type="dxa" w:w="2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ETR/2011/page_341.pdf-3</w:t>
            </w:r>
          </w:p>
        </w:tc>
        <w:tc>
          <w:tcPr>
            <w:tcW w:type="dxa" w:w="47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gold_inds records −0.3; the program is add(18.9, 0.3) giving 19.2. The correct answer is 18.6</w:t>
            </w:r>
          </w:p>
        </w:tc>
      </w:tr>
    </w:tbl>
    <w:p>
      <w:pPr>
        <w:spacing w:after="120" w:line="276"/>
        <w:jc w:val="both"/>
      </w:pPr>
      <w:r>
        <w:rPr>
          <w:rFonts w:ascii="Calibri" w:cs="Calibri" w:eastAsia="Calibri" w:hAnsi="Calibri"/>
          <w:i/>
          <w:iCs/>
          <w:sz w:val="22"/>
          <w:szCs w:val="22"/>
        </w:rPr>
        <w:t xml:space="preserve">No item-specific correction was applied. Adjusting scores after inspecting individual errors would constitute cherry-picking.</w:t>
      </w:r>
    </w:p>
    <w:p>
      <w:pPr>
        <w:pStyle w:val="Heading2"/>
        <w:spacing w:after="100" w:before="240"/>
      </w:pPr>
      <w:r>
        <w:rPr>
          <w:rFonts w:ascii="Calibri" w:cs="Calibri" w:eastAsia="Calibri" w:hAnsi="Calibri"/>
          <w:b/>
          <w:bCs/>
          <w:color w:val="2E5496"/>
          <w:sz w:val="26"/>
          <w:szCs w:val="26"/>
        </w:rPr>
        <w:t xml:space="preserve">4.2 Experiment 2 — Hallucination detector sensitivity (n = 10)</w:t>
      </w:r>
    </w:p>
    <w:p>
      <w:pPr>
        <w:spacing w:after="120" w:line="276"/>
        <w:jc w:val="both"/>
      </w:pPr>
      <w:r>
        <w:rPr>
          <w:rFonts w:ascii="Calibri" w:cs="Calibri" w:eastAsia="Calibri" w:hAnsi="Calibri"/>
          <w:b/>
          <w:bCs/>
          <w:sz w:val="22"/>
          <w:szCs w:val="22"/>
        </w:rPr>
        <w:t xml:space="preserve">An initial two-condition design produced eight of ten byte-identical responses between clean and adversarial conditions, with no decoy appearing in any response. A manipulation check revealed the cause: retrieval had removed every injected sentence before generation. A third condition and an explicit check were therefore added, because without the check a null result cannot be distinguished from a failed manipulation, and those two readings carry opposite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350"/>
        <w:gridCol w:w="1350"/>
        <w:gridCol w:w="1350"/>
        <w:gridCol w:w="1710"/>
      </w:tblGrid>
      <w:tr>
        <w:trPr>
          <w:tblHeader/>
        </w:trPr>
        <w:tc>
          <w:tcPr>
            <w:tcW w:type="dxa" w:w="19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Condition</w:t>
            </w:r>
          </w:p>
        </w:tc>
        <w:tc>
          <w:tcPr>
            <w:tcW w:type="dxa" w:w="17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Decoy reached model</w:t>
            </w:r>
          </w:p>
        </w:tc>
        <w:tc>
          <w:tcPr>
            <w:tcW w:type="dxa" w:w="135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Accuracy</w:t>
            </w:r>
          </w:p>
        </w:tc>
        <w:tc>
          <w:tcPr>
            <w:tcW w:type="dxa" w:w="135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NESS</w:t>
            </w:r>
          </w:p>
        </w:tc>
        <w:tc>
          <w:tcPr>
            <w:tcW w:type="dxa" w:w="135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Hallucination</w:t>
            </w:r>
          </w:p>
        </w:tc>
        <w:tc>
          <w:tcPr>
            <w:tcW w:type="dxa" w:w="171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Decoy used</w:t>
            </w:r>
          </w:p>
        </w:tc>
      </w:tr>
      <w:tr>
        <w:tc>
          <w:tcPr>
            <w:tcW w:type="dxa" w:w="1900"/>
            <w:tcMar>
              <w:top w:type="dxa" w:w="50"/>
              <w:left w:type="dxa" w:w="90"/>
              <w:bottom w:type="dxa" w:w="50"/>
              <w:right w:type="dxa" w:w="90"/>
            </w:tcMar>
          </w:tcPr>
          <w:p>
            <w:pPr>
              <w:spacing w:after="0" w:line="250"/>
              <w:jc w:val="left"/>
            </w:pPr>
            <w:r>
              <w:rPr>
                <w:rFonts w:ascii="Calibri" w:cs="Calibri" w:eastAsia="Calibri" w:hAnsi="Calibri"/>
                <w:sz w:val="19"/>
                <w:szCs w:val="19"/>
              </w:rPr>
              <w:t xml:space="preserve">Clean control</w:t>
            </w:r>
          </w:p>
        </w:tc>
        <w:tc>
          <w:tcPr>
            <w:tcW w:type="dxa" w:w="1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0.0000</w:t>
            </w:r>
          </w:p>
        </w:tc>
        <w:tc>
          <w:tcPr>
            <w:tcW w:type="dxa" w:w="1350"/>
            <w:tcMar>
              <w:top w:type="dxa" w:w="50"/>
              <w:left w:type="dxa" w:w="90"/>
              <w:bottom w:type="dxa" w:w="50"/>
              <w:right w:type="dxa" w:w="90"/>
            </w:tcMar>
          </w:tcPr>
          <w:p>
            <w:pPr>
              <w:spacing w:after="0" w:line="250"/>
              <w:jc w:val="center"/>
            </w:pPr>
            <w:r>
              <w:rPr>
                <w:rFonts w:ascii="Calibri" w:cs="Calibri" w:eastAsia="Calibri" w:hAnsi="Calibri"/>
                <w:sz w:val="19"/>
                <w:szCs w:val="19"/>
              </w:rPr>
              <w:t xml:space="preserve">0.4000</w:t>
            </w:r>
          </w:p>
        </w:tc>
        <w:tc>
          <w:tcPr>
            <w:tcW w:type="dxa" w:w="1350"/>
            <w:tcMar>
              <w:top w:type="dxa" w:w="50"/>
              <w:left w:type="dxa" w:w="90"/>
              <w:bottom w:type="dxa" w:w="50"/>
              <w:right w:type="dxa" w:w="90"/>
            </w:tcMar>
          </w:tcPr>
          <w:p>
            <w:pPr>
              <w:spacing w:after="0" w:line="250"/>
              <w:jc w:val="center"/>
            </w:pPr>
            <w:r>
              <w:rPr>
                <w:rFonts w:ascii="Calibri" w:cs="Calibri" w:eastAsia="Calibri" w:hAnsi="Calibri"/>
                <w:sz w:val="19"/>
                <w:szCs w:val="19"/>
              </w:rPr>
              <w:t xml:space="preserve">0.7266</w:t>
            </w:r>
          </w:p>
        </w:tc>
        <w:tc>
          <w:tcPr>
            <w:tcW w:type="dxa" w:w="1350"/>
            <w:tcMar>
              <w:top w:type="dxa" w:w="50"/>
              <w:left w:type="dxa" w:w="90"/>
              <w:bottom w:type="dxa" w:w="50"/>
              <w:right w:type="dxa" w:w="90"/>
            </w:tcMar>
          </w:tcPr>
          <w:p>
            <w:pPr>
              <w:spacing w:after="0" w:line="250"/>
              <w:jc w:val="center"/>
            </w:pPr>
            <w:r>
              <w:rPr>
                <w:rFonts w:ascii="Calibri" w:cs="Calibri" w:eastAsia="Calibri" w:hAnsi="Calibri"/>
                <w:sz w:val="19"/>
                <w:szCs w:val="19"/>
              </w:rPr>
              <w:t xml:space="preserve">0.1000</w:t>
            </w:r>
          </w:p>
        </w:tc>
        <w:tc>
          <w:tcPr>
            <w:tcW w:type="dxa" w:w="171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0.0000</w:t>
            </w:r>
          </w:p>
        </w:tc>
      </w:tr>
      <w:tr>
        <w:tc>
          <w:tcPr>
            <w:tcW w:type="dxa" w:w="1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Document injection</w:t>
            </w:r>
          </w:p>
        </w:tc>
        <w:tc>
          <w:tcPr>
            <w:tcW w:type="dxa" w:w="1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0.2000</w:t>
            </w:r>
          </w:p>
        </w:tc>
        <w:tc>
          <w:tcPr>
            <w:tcW w:type="dxa" w:w="135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0.4000</w:t>
            </w:r>
          </w:p>
        </w:tc>
        <w:tc>
          <w:tcPr>
            <w:tcW w:type="dxa" w:w="135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0.7224</w:t>
            </w:r>
          </w:p>
        </w:tc>
        <w:tc>
          <w:tcPr>
            <w:tcW w:type="dxa" w:w="135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0.1000</w:t>
            </w:r>
          </w:p>
        </w:tc>
        <w:tc>
          <w:tcPr>
            <w:tcW w:type="dxa" w:w="171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0.0000</w:t>
            </w:r>
          </w:p>
        </w:tc>
      </w:tr>
      <w:tr>
        <w:tc>
          <w:tcPr>
            <w:tcW w:type="dxa" w:w="1900"/>
            <w:tcMar>
              <w:top w:type="dxa" w:w="50"/>
              <w:left w:type="dxa" w:w="90"/>
              <w:bottom w:type="dxa" w:w="50"/>
              <w:right w:type="dxa" w:w="90"/>
            </w:tcMar>
          </w:tcPr>
          <w:p>
            <w:pPr>
              <w:spacing w:after="0" w:line="250"/>
              <w:jc w:val="left"/>
            </w:pPr>
            <w:r>
              <w:rPr>
                <w:rFonts w:ascii="Calibri" w:cs="Calibri" w:eastAsia="Calibri" w:hAnsi="Calibri"/>
                <w:sz w:val="19"/>
                <w:szCs w:val="19"/>
              </w:rPr>
              <w:t xml:space="preserve">Evidence injection</w:t>
            </w:r>
          </w:p>
        </w:tc>
        <w:tc>
          <w:tcPr>
            <w:tcW w:type="dxa" w:w="1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1.0000</w:t>
            </w:r>
          </w:p>
        </w:tc>
        <w:tc>
          <w:tcPr>
            <w:tcW w:type="dxa" w:w="135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0.5000</w:t>
            </w:r>
          </w:p>
        </w:tc>
        <w:tc>
          <w:tcPr>
            <w:tcW w:type="dxa" w:w="1350"/>
            <w:tcMar>
              <w:top w:type="dxa" w:w="50"/>
              <w:left w:type="dxa" w:w="90"/>
              <w:bottom w:type="dxa" w:w="50"/>
              <w:right w:type="dxa" w:w="90"/>
            </w:tcMar>
          </w:tcPr>
          <w:p>
            <w:pPr>
              <w:spacing w:after="0" w:line="250"/>
              <w:jc w:val="center"/>
            </w:pPr>
            <w:r>
              <w:rPr>
                <w:rFonts w:ascii="Calibri" w:cs="Calibri" w:eastAsia="Calibri" w:hAnsi="Calibri"/>
                <w:sz w:val="19"/>
                <w:szCs w:val="19"/>
              </w:rPr>
              <w:t xml:space="preserve">0.6889</w:t>
            </w:r>
          </w:p>
        </w:tc>
        <w:tc>
          <w:tcPr>
            <w:tcW w:type="dxa" w:w="1350"/>
            <w:tcMar>
              <w:top w:type="dxa" w:w="50"/>
              <w:left w:type="dxa" w:w="90"/>
              <w:bottom w:type="dxa" w:w="50"/>
              <w:right w:type="dxa" w:w="90"/>
            </w:tcMar>
          </w:tcPr>
          <w:p>
            <w:pPr>
              <w:spacing w:after="0" w:line="250"/>
              <w:jc w:val="center"/>
            </w:pPr>
            <w:r>
              <w:rPr>
                <w:rFonts w:ascii="Calibri" w:cs="Calibri" w:eastAsia="Calibri" w:hAnsi="Calibri"/>
                <w:sz w:val="19"/>
                <w:szCs w:val="19"/>
              </w:rPr>
              <w:t xml:space="preserve">0.2000</w:t>
            </w:r>
          </w:p>
        </w:tc>
        <w:tc>
          <w:tcPr>
            <w:tcW w:type="dxa" w:w="171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0.0000</w:t>
            </w:r>
          </w:p>
        </w:tc>
      </w:tr>
    </w:tbl>
    <w:p>
      <w:pPr>
        <w:pStyle w:val="ListParagraph"/>
        <w:numPr>
          <w:ilvl w:val="0"/>
          <w:numId w:val="2"/>
        </w:numPr>
        <w:spacing w:after="60" w:line="276"/>
      </w:pPr>
      <w:r>
        <w:rPr>
          <w:rFonts w:ascii="Calibri" w:cs="Calibri" w:eastAsia="Calibri" w:hAnsi="Calibri"/>
          <w:sz w:val="22"/>
          <w:szCs w:val="22"/>
        </w:rPr>
        <w:t xml:space="preserve">Retrieval filtered 80% of document-level distractors: only 2 of 10 reached the evidence block.</w:t>
      </w:r>
    </w:p>
    <w:p>
      <w:pPr>
        <w:pStyle w:val="ListParagraph"/>
        <w:numPr>
          <w:ilvl w:val="0"/>
          <w:numId w:val="2"/>
        </w:numPr>
        <w:spacing w:after="60" w:line="276"/>
      </w:pPr>
      <w:r>
        <w:rPr>
          <w:rFonts w:ascii="Calibri" w:cs="Calibri" w:eastAsia="Calibri" w:hAnsi="Calibri"/>
          <w:sz w:val="22"/>
          <w:szCs w:val="22"/>
        </w:rPr>
        <w:t xml:space="preserve">When contamination reached the model the flag rate doubled from 0.10 to 0.20 and strict NESS fell from 0.727 to 0.689.</w:t>
      </w:r>
    </w:p>
    <w:p>
      <w:pPr>
        <w:pStyle w:val="ListParagraph"/>
        <w:numPr>
          <w:ilvl w:val="0"/>
          <w:numId w:val="2"/>
        </w:numPr>
        <w:spacing w:after="60" w:line="276"/>
      </w:pPr>
      <w:r>
        <w:rPr>
          <w:rFonts w:ascii="Calibri" w:cs="Calibri" w:eastAsia="Calibri" w:hAnsi="Calibri"/>
          <w:sz w:val="22"/>
          <w:szCs w:val="22"/>
        </w:rPr>
        <w:t xml:space="preserve">The generator never adopted an injected value in any condition, so metric movement reflects contaminated context rather than contaminated answers.</w:t>
      </w:r>
    </w:p>
    <w:p>
      <w:pPr>
        <w:spacing w:after="120" w:line="276"/>
        <w:jc w:val="both"/>
      </w:pPr>
      <w:r>
        <w:rPr>
          <w:rFonts w:ascii="Calibri" w:cs="Calibri" w:eastAsia="Calibri" w:hAnsi="Calibri"/>
          <w:sz w:val="22"/>
          <w:szCs w:val="22"/>
        </w:rPr>
        <w:t xml:space="preserve">These deltas correspond to single examples at n = 10, and the Wilson intervals for the clean and injected hallucination rates overlap heavily. The mechanism is demonstrated; the magnitude is not established at this sample size. The accuracy rise under evidence injection reflects one example flipping and must not be reported as noise improving performance.</w:t>
      </w:r>
    </w:p>
    <w:p>
      <w:pPr>
        <w:pStyle w:val="Heading2"/>
        <w:spacing w:after="100" w:before="240"/>
      </w:pPr>
      <w:r>
        <w:rPr>
          <w:rFonts w:ascii="Calibri" w:cs="Calibri" w:eastAsia="Calibri" w:hAnsi="Calibri"/>
          <w:b/>
          <w:bCs/>
          <w:color w:val="2E5496"/>
          <w:sz w:val="26"/>
          <w:szCs w:val="26"/>
        </w:rPr>
        <w:t xml:space="preserve">4.3 Experiment 3 — Confidence calibration and overconfidence (n =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Quantity</w:t>
            </w:r>
          </w:p>
        </w:tc>
        <w:tc>
          <w:tcPr>
            <w:tcW w:type="dxa" w:w="22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Value</w:t>
            </w:r>
          </w:p>
        </w:tc>
        <w:tc>
          <w:tcPr>
            <w:tcW w:type="dxa" w:w="31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Note</w:t>
            </w:r>
          </w:p>
        </w:tc>
      </w:tr>
      <w:tr>
        <w:tc>
          <w:tcPr>
            <w:tcW w:type="dxa" w:w="4000"/>
            <w:tcMar>
              <w:top w:type="dxa" w:w="50"/>
              <w:left w:type="dxa" w:w="90"/>
              <w:bottom w:type="dxa" w:w="50"/>
              <w:right w:type="dxa" w:w="90"/>
            </w:tcMar>
          </w:tcPr>
          <w:p>
            <w:pPr>
              <w:spacing w:after="0" w:line="250"/>
              <w:jc w:val="left"/>
            </w:pPr>
            <w:r>
              <w:rPr>
                <w:rFonts w:ascii="Calibri" w:cs="Calibri" w:eastAsia="Calibri" w:hAnsi="Calibri"/>
                <w:sz w:val="19"/>
                <w:szCs w:val="19"/>
              </w:rPr>
              <w:t xml:space="preserve">Accuracy</w:t>
            </w:r>
          </w:p>
        </w:tc>
        <w:tc>
          <w:tcPr>
            <w:tcW w:type="dxa" w:w="22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0.3400</w:t>
            </w:r>
          </w:p>
        </w:tc>
        <w:tc>
          <w:tcPr>
            <w:tcW w:type="dxa" w:w="3160"/>
            <w:tcMar>
              <w:top w:type="dxa" w:w="50"/>
              <w:left w:type="dxa" w:w="90"/>
              <w:bottom w:type="dxa" w:w="50"/>
              <w:right w:type="dxa" w:w="90"/>
            </w:tcMar>
          </w:tcPr>
          <w:p>
            <w:pPr>
              <w:spacing w:after="0" w:line="250"/>
              <w:jc w:val="center"/>
            </w:pPr>
            <w:r>
              <w:rPr>
                <w:rFonts w:ascii="Calibri" w:cs="Calibri" w:eastAsia="Calibri" w:hAnsi="Calibri"/>
                <w:sz w:val="19"/>
                <w:szCs w:val="19"/>
              </w:rPr>
              <w:t xml:space="preserve">17 correct, 33 incorrect</w:t>
            </w:r>
          </w:p>
        </w:tc>
      </w:tr>
      <w:tr>
        <w:tc>
          <w:tcPr>
            <w:tcW w:type="dxa" w:w="40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Mean self-reported confidence</w:t>
            </w:r>
          </w:p>
        </w:tc>
        <w:tc>
          <w:tcPr>
            <w:tcW w:type="dxa" w:w="22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0.8960</w:t>
            </w:r>
          </w:p>
        </w:tc>
        <w:tc>
          <w:tcPr>
            <w:tcW w:type="dxa" w:w="31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 missing</w:t>
            </w:r>
          </w:p>
        </w:tc>
      </w:tr>
      <w:tr>
        <w:tc>
          <w:tcPr>
            <w:tcW w:type="dxa" w:w="4000"/>
            <w:tcMar>
              <w:top w:type="dxa" w:w="50"/>
              <w:left w:type="dxa" w:w="90"/>
              <w:bottom w:type="dxa" w:w="50"/>
              <w:right w:type="dxa" w:w="90"/>
            </w:tcMar>
          </w:tcPr>
          <w:p>
            <w:pPr>
              <w:spacing w:after="0" w:line="250"/>
              <w:jc w:val="left"/>
            </w:pPr>
            <w:r>
              <w:rPr>
                <w:rFonts w:ascii="Calibri" w:cs="Calibri" w:eastAsia="Calibri" w:hAnsi="Calibri"/>
                <w:sz w:val="19"/>
                <w:szCs w:val="19"/>
              </w:rPr>
              <w:t xml:space="preserve">Mean confidence on correct answers</w:t>
            </w:r>
          </w:p>
        </w:tc>
        <w:tc>
          <w:tcPr>
            <w:tcW w:type="dxa" w:w="22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0.9118</w:t>
            </w:r>
          </w:p>
        </w:tc>
        <w:tc>
          <w:tcPr>
            <w:tcW w:type="dxa" w:w="3160"/>
            <w:tcMar>
              <w:top w:type="dxa" w:w="50"/>
              <w:left w:type="dxa" w:w="90"/>
              <w:bottom w:type="dxa" w:w="50"/>
              <w:right w:type="dxa" w:w="90"/>
            </w:tcMar>
          </w:tcPr>
          <w:p>
            <w:pPr>
              <w:spacing w:after="0" w:line="250"/>
              <w:jc w:val="center"/>
            </w:pPr>
            <w:r>
              <w:rPr>
                <w:rFonts w:ascii="Calibri" w:cs="Calibri" w:eastAsia="Calibri" w:hAnsi="Calibri"/>
                <w:sz w:val="19"/>
                <w:szCs w:val="19"/>
              </w:rPr>
              <w:t xml:space="preserve">n = 17</w:t>
            </w:r>
          </w:p>
        </w:tc>
      </w:tr>
      <w:tr>
        <w:tc>
          <w:tcPr>
            <w:tcW w:type="dxa" w:w="40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Mean confidence on incorrect answers</w:t>
            </w:r>
          </w:p>
        </w:tc>
        <w:tc>
          <w:tcPr>
            <w:tcW w:type="dxa" w:w="22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0.8879</w:t>
            </w:r>
          </w:p>
        </w:tc>
        <w:tc>
          <w:tcPr>
            <w:tcW w:type="dxa" w:w="31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n = 33</w:t>
            </w:r>
          </w:p>
        </w:tc>
      </w:tr>
      <w:tr>
        <w:tc>
          <w:tcPr>
            <w:tcW w:type="dxa" w:w="4000"/>
            <w:tcMar>
              <w:top w:type="dxa" w:w="50"/>
              <w:left w:type="dxa" w:w="90"/>
              <w:bottom w:type="dxa" w:w="50"/>
              <w:right w:type="dxa" w:w="90"/>
            </w:tcMar>
          </w:tcPr>
          <w:p>
            <w:pPr>
              <w:spacing w:after="0" w:line="250"/>
              <w:jc w:val="left"/>
            </w:pPr>
            <w:r>
              <w:rPr>
                <w:rFonts w:ascii="Calibri" w:cs="Calibri" w:eastAsia="Calibri" w:hAnsi="Calibri"/>
                <w:sz w:val="19"/>
                <w:szCs w:val="19"/>
              </w:rPr>
              <w:t xml:space="preserve">Confidence gap</w:t>
            </w:r>
          </w:p>
        </w:tc>
        <w:tc>
          <w:tcPr>
            <w:tcW w:type="dxa" w:w="22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0.0239</w:t>
            </w:r>
          </w:p>
        </w:tc>
        <w:tc>
          <w:tcPr>
            <w:tcW w:type="dxa" w:w="3160"/>
            <w:tcMar>
              <w:top w:type="dxa" w:w="50"/>
              <w:left w:type="dxa" w:w="90"/>
              <w:bottom w:type="dxa" w:w="50"/>
              <w:right w:type="dxa" w:w="90"/>
            </w:tcMar>
          </w:tcPr>
          <w:p>
            <w:pPr>
              <w:spacing w:after="0" w:line="250"/>
              <w:jc w:val="center"/>
            </w:pPr>
            <w:r>
              <w:rPr>
                <w:rFonts w:ascii="Calibri" w:cs="Calibri" w:eastAsia="Calibri" w:hAnsi="Calibri"/>
                <w:sz w:val="19"/>
                <w:szCs w:val="19"/>
              </w:rPr>
              <w:t xml:space="preserve">correct minus incorrect</w:t>
            </w:r>
          </w:p>
        </w:tc>
      </w:tr>
      <w:tr>
        <w:tc>
          <w:tcPr>
            <w:tcW w:type="dxa" w:w="40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Overconfidence gap</w:t>
            </w:r>
          </w:p>
        </w:tc>
        <w:tc>
          <w:tcPr>
            <w:tcW w:type="dxa" w:w="22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0.5560</w:t>
            </w:r>
          </w:p>
        </w:tc>
        <w:tc>
          <w:tcPr>
            <w:tcW w:type="dxa" w:w="31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confidence minus accuracy</w:t>
            </w:r>
          </w:p>
        </w:tc>
      </w:tr>
      <w:tr>
        <w:tc>
          <w:tcPr>
            <w:tcW w:type="dxa" w:w="4000"/>
            <w:tcMar>
              <w:top w:type="dxa" w:w="50"/>
              <w:left w:type="dxa" w:w="90"/>
              <w:bottom w:type="dxa" w:w="50"/>
              <w:right w:type="dxa" w:w="90"/>
            </w:tcMar>
          </w:tcPr>
          <w:p>
            <w:pPr>
              <w:spacing w:after="0" w:line="250"/>
              <w:jc w:val="left"/>
            </w:pPr>
            <w:r>
              <w:rPr>
                <w:rFonts w:ascii="Calibri" w:cs="Calibri" w:eastAsia="Calibri" w:hAnsi="Calibri"/>
                <w:sz w:val="19"/>
                <w:szCs w:val="19"/>
              </w:rPr>
              <w:t xml:space="preserve">High-confidence errors</w:t>
            </w:r>
          </w:p>
        </w:tc>
        <w:tc>
          <w:tcPr>
            <w:tcW w:type="dxa" w:w="22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0.6400</w:t>
            </w:r>
          </w:p>
        </w:tc>
        <w:tc>
          <w:tcPr>
            <w:tcW w:type="dxa" w:w="3160"/>
            <w:tcMar>
              <w:top w:type="dxa" w:w="50"/>
              <w:left w:type="dxa" w:w="90"/>
              <w:bottom w:type="dxa" w:w="50"/>
              <w:right w:type="dxa" w:w="90"/>
            </w:tcMar>
          </w:tcPr>
          <w:p>
            <w:pPr>
              <w:spacing w:after="0" w:line="250"/>
              <w:jc w:val="center"/>
            </w:pPr>
            <w:r>
              <w:rPr>
                <w:rFonts w:ascii="Calibri" w:cs="Calibri" w:eastAsia="Calibri" w:hAnsi="Calibri"/>
                <w:sz w:val="19"/>
                <w:szCs w:val="19"/>
              </w:rPr>
              <w:t xml:space="preserve">32/50 wrong at confidence ≥ 0.8</w:t>
            </w:r>
          </w:p>
        </w:tc>
      </w:tr>
      <w:tr>
        <w:tc>
          <w:tcPr>
            <w:tcW w:type="dxa" w:w="40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ECE of self-reported confidence</w:t>
            </w:r>
          </w:p>
        </w:tc>
        <w:tc>
          <w:tcPr>
            <w:tcW w:type="dxa" w:w="22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0.5560</w:t>
            </w:r>
          </w:p>
        </w:tc>
        <w:tc>
          <w:tcPr>
            <w:tcW w:type="dxa" w:w="31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bl>
    <w:p>
      <w:pPr>
        <w:spacing w:after="120" w:line="276"/>
        <w:jc w:val="both"/>
      </w:pPr>
      <w:r>
        <w:rPr>
          <w:rFonts w:ascii="Calibri" w:cs="Calibri" w:eastAsia="Calibri" w:hAnsi="Calibri"/>
          <w:sz w:val="22"/>
          <w:szCs w:val="22"/>
        </w:rPr>
        <w:t xml:space="preserve">Confidence on correct and incorrect answers differs by 0.024 on a unit scale. Self-reported confidence therefore carries almost no information about whether an answer is right, while 64% of scored responses were confidently wrong. In a financial decision-support setting this is the concrete high-risk failure mode the framework was designed to expose, and it is the most robust single finding in the project.</w:t>
      </w:r>
    </w:p>
    <w:p>
      <w:pPr>
        <w:spacing w:after="120" w:line="276"/>
        <w:jc w:val="both"/>
      </w:pPr>
      <w:r>
        <w:rPr>
          <w:rFonts w:ascii="Calibri" w:cs="Calibri" w:eastAsia="Calibri" w:hAnsi="Calibri"/>
          <w:b/>
          <w:bCs/>
          <w:sz w:val="22"/>
          <w:szCs w:val="22"/>
        </w:rPr>
        <w:t xml:space="preserve">This is self-reported confidence elicited in the prompt, not a probability derived from token log-probabilities. It must be labelled as such in all figures and text.</w:t>
      </w:r>
    </w:p>
    <w:p>
      <w:pPr>
        <w:pStyle w:val="Heading2"/>
        <w:spacing w:after="100" w:before="240"/>
      </w:pPr>
      <w:r>
        <w:rPr>
          <w:rFonts w:ascii="Calibri" w:cs="Calibri" w:eastAsia="Calibri" w:hAnsi="Calibri"/>
          <w:b/>
          <w:bCs/>
          <w:color w:val="2E5496"/>
          <w:sz w:val="26"/>
          <w:szCs w:val="26"/>
        </w:rPr>
        <w:t xml:space="preserve">4.4 Experiment 4 — Composite response under graded noise (n = 50 per level)</w:t>
      </w:r>
    </w:p>
    <w:p>
      <w:pPr>
        <w:spacing w:after="120" w:line="276"/>
        <w:jc w:val="both"/>
      </w:pPr>
      <w:r>
        <w:rPr>
          <w:rFonts w:ascii="Calibri" w:cs="Calibri" w:eastAsia="Calibri" w:hAnsi="Calibri"/>
          <w:sz w:val="22"/>
          <w:szCs w:val="22"/>
        </w:rPr>
        <w:t xml:space="preserve">Noise was injected into the evidence block after retrieval, guaranteeing delivery. Noise level denotes the percentage of a ten-sentence distractor pool, so levels 0 to 40 inject zero to four distractor sentences.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500"/>
        <w:gridCol w:w="1400"/>
        <w:gridCol w:w="1400"/>
        <w:gridCol w:w="1300"/>
        <w:gridCol w:w="1360"/>
      </w:tblGrid>
      <w:tr>
        <w:trPr>
          <w:tblHeader/>
        </w:trPr>
        <w:tc>
          <w:tcPr>
            <w:tcW w:type="dxa" w:w="11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Noise</w:t>
            </w:r>
          </w:p>
        </w:tc>
        <w:tc>
          <w:tcPr>
            <w:tcW w:type="dxa" w:w="13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Reached</w:t>
            </w:r>
          </w:p>
        </w:tc>
        <w:tc>
          <w:tcPr>
            <w:tcW w:type="dxa" w:w="15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Accuracy</w:t>
            </w:r>
          </w:p>
        </w:tc>
        <w:tc>
          <w:tcPr>
            <w:tcW w:type="dxa" w:w="14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NESS</w:t>
            </w:r>
          </w:p>
        </w:tc>
        <w:tc>
          <w:tcPr>
            <w:tcW w:type="dxa" w:w="14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Hallucination</w:t>
            </w:r>
          </w:p>
        </w:tc>
        <w:tc>
          <w:tcPr>
            <w:tcW w:type="dxa" w:w="13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ECE</w:t>
            </w:r>
          </w:p>
        </w:tc>
        <w:tc>
          <w:tcPr>
            <w:tcW w:type="dxa" w:w="13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ONRS</w:t>
            </w:r>
          </w:p>
        </w:tc>
      </w:tr>
      <w:tr>
        <w:tc>
          <w:tcPr>
            <w:tcW w:type="dxa" w:w="1100"/>
            <w:tcMar>
              <w:top w:type="dxa" w:w="50"/>
              <w:left w:type="dxa" w:w="90"/>
              <w:bottom w:type="dxa" w:w="50"/>
              <w:right w:type="dxa" w:w="90"/>
            </w:tcMar>
          </w:tcPr>
          <w:p>
            <w:pPr>
              <w:spacing w:after="0" w:line="250"/>
              <w:jc w:val="left"/>
            </w:pPr>
            <w:r>
              <w:rPr>
                <w:rFonts w:ascii="Calibri" w:cs="Calibri" w:eastAsia="Calibri" w:hAnsi="Calibri"/>
                <w:sz w:val="19"/>
                <w:szCs w:val="19"/>
              </w:rPr>
              <w:t xml:space="preserve">0%</w:t>
            </w:r>
          </w:p>
        </w:tc>
        <w:tc>
          <w:tcPr>
            <w:tcW w:type="dxa" w:w="13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0.0000</w:t>
            </w:r>
          </w:p>
        </w:tc>
        <w:tc>
          <w:tcPr>
            <w:tcW w:type="dxa" w:w="15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0.3400</w:t>
            </w:r>
          </w:p>
        </w:tc>
        <w:tc>
          <w:tcPr>
            <w:tcW w:type="dxa" w:w="1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0.7145</w:t>
            </w:r>
          </w:p>
        </w:tc>
        <w:tc>
          <w:tcPr>
            <w:tcW w:type="dxa" w:w="1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0.0800</w:t>
            </w:r>
          </w:p>
        </w:tc>
        <w:tc>
          <w:tcPr>
            <w:tcW w:type="dxa" w:w="13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0.5560</w:t>
            </w:r>
          </w:p>
        </w:tc>
        <w:tc>
          <w:tcPr>
            <w:tcW w:type="dxa" w:w="136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0.5891</w:t>
            </w:r>
          </w:p>
        </w:tc>
      </w:tr>
      <w:tr>
        <w:tc>
          <w:tcPr>
            <w:tcW w:type="dxa" w:w="11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10%</w:t>
            </w:r>
          </w:p>
        </w:tc>
        <w:tc>
          <w:tcPr>
            <w:tcW w:type="dxa" w:w="13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1.0000</w:t>
            </w:r>
          </w:p>
        </w:tc>
        <w:tc>
          <w:tcPr>
            <w:tcW w:type="dxa" w:w="15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0.3000</w:t>
            </w:r>
          </w:p>
        </w:tc>
        <w:tc>
          <w:tcPr>
            <w:tcW w:type="dxa" w:w="14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0.7109</w:t>
            </w:r>
          </w:p>
        </w:tc>
        <w:tc>
          <w:tcPr>
            <w:tcW w:type="dxa" w:w="14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0.1000</w:t>
            </w:r>
          </w:p>
        </w:tc>
        <w:tc>
          <w:tcPr>
            <w:tcW w:type="dxa" w:w="13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0.5800</w:t>
            </w:r>
          </w:p>
        </w:tc>
        <w:tc>
          <w:tcPr>
            <w:tcW w:type="dxa" w:w="13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0.5673</w:t>
            </w:r>
          </w:p>
        </w:tc>
      </w:tr>
      <w:tr>
        <w:tc>
          <w:tcPr>
            <w:tcW w:type="dxa" w:w="1100"/>
            <w:tcMar>
              <w:top w:type="dxa" w:w="50"/>
              <w:left w:type="dxa" w:w="90"/>
              <w:bottom w:type="dxa" w:w="50"/>
              <w:right w:type="dxa" w:w="90"/>
            </w:tcMar>
          </w:tcPr>
          <w:p>
            <w:pPr>
              <w:spacing w:after="0" w:line="250"/>
              <w:jc w:val="left"/>
            </w:pPr>
            <w:r>
              <w:rPr>
                <w:rFonts w:ascii="Calibri" w:cs="Calibri" w:eastAsia="Calibri" w:hAnsi="Calibri"/>
                <w:sz w:val="19"/>
                <w:szCs w:val="19"/>
              </w:rPr>
              <w:t xml:space="preserve">20%</w:t>
            </w:r>
          </w:p>
        </w:tc>
        <w:tc>
          <w:tcPr>
            <w:tcW w:type="dxa" w:w="1300"/>
            <w:tcMar>
              <w:top w:type="dxa" w:w="50"/>
              <w:left w:type="dxa" w:w="90"/>
              <w:bottom w:type="dxa" w:w="50"/>
              <w:right w:type="dxa" w:w="90"/>
            </w:tcMar>
          </w:tcPr>
          <w:p>
            <w:pPr>
              <w:spacing w:after="0" w:line="250"/>
              <w:jc w:val="center"/>
            </w:pPr>
            <w:r>
              <w:rPr>
                <w:rFonts w:ascii="Calibri" w:cs="Calibri" w:eastAsia="Calibri" w:hAnsi="Calibri"/>
                <w:sz w:val="19"/>
                <w:szCs w:val="19"/>
              </w:rPr>
              <w:t xml:space="preserve">1.0000</w:t>
            </w:r>
          </w:p>
        </w:tc>
        <w:tc>
          <w:tcPr>
            <w:tcW w:type="dxa" w:w="15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0.3800</w:t>
            </w:r>
          </w:p>
        </w:tc>
        <w:tc>
          <w:tcPr>
            <w:tcW w:type="dxa" w:w="1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0.7114</w:t>
            </w:r>
          </w:p>
        </w:tc>
        <w:tc>
          <w:tcPr>
            <w:tcW w:type="dxa" w:w="1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0.1200</w:t>
            </w:r>
          </w:p>
        </w:tc>
        <w:tc>
          <w:tcPr>
            <w:tcW w:type="dxa" w:w="13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0.4920</w:t>
            </w:r>
          </w:p>
        </w:tc>
        <w:tc>
          <w:tcPr>
            <w:tcW w:type="dxa" w:w="1360"/>
            <w:tcMar>
              <w:top w:type="dxa" w:w="50"/>
              <w:left w:type="dxa" w:w="90"/>
              <w:bottom w:type="dxa" w:w="50"/>
              <w:right w:type="dxa" w:w="90"/>
            </w:tcMar>
          </w:tcPr>
          <w:p>
            <w:pPr>
              <w:spacing w:after="0" w:line="250"/>
              <w:jc w:val="center"/>
            </w:pPr>
            <w:r>
              <w:rPr>
                <w:rFonts w:ascii="Calibri" w:cs="Calibri" w:eastAsia="Calibri" w:hAnsi="Calibri"/>
                <w:sz w:val="19"/>
                <w:szCs w:val="19"/>
              </w:rPr>
              <w:t xml:space="preserve">0.6050</w:t>
            </w:r>
          </w:p>
        </w:tc>
      </w:tr>
      <w:tr>
        <w:tc>
          <w:tcPr>
            <w:tcW w:type="dxa" w:w="11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30%</w:t>
            </w:r>
          </w:p>
        </w:tc>
        <w:tc>
          <w:tcPr>
            <w:tcW w:type="dxa" w:w="13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1.0000</w:t>
            </w:r>
          </w:p>
        </w:tc>
        <w:tc>
          <w:tcPr>
            <w:tcW w:type="dxa" w:w="15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0.3600</w:t>
            </w:r>
          </w:p>
        </w:tc>
        <w:tc>
          <w:tcPr>
            <w:tcW w:type="dxa" w:w="14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0.6922</w:t>
            </w:r>
          </w:p>
        </w:tc>
        <w:tc>
          <w:tcPr>
            <w:tcW w:type="dxa" w:w="14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0.1000</w:t>
            </w:r>
          </w:p>
        </w:tc>
        <w:tc>
          <w:tcPr>
            <w:tcW w:type="dxa" w:w="13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0.5240</w:t>
            </w:r>
          </w:p>
        </w:tc>
        <w:tc>
          <w:tcPr>
            <w:tcW w:type="dxa" w:w="13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0.5909</w:t>
            </w:r>
          </w:p>
        </w:tc>
      </w:tr>
      <w:tr>
        <w:tc>
          <w:tcPr>
            <w:tcW w:type="dxa" w:w="1100"/>
            <w:tcMar>
              <w:top w:type="dxa" w:w="50"/>
              <w:left w:type="dxa" w:w="90"/>
              <w:bottom w:type="dxa" w:w="50"/>
              <w:right w:type="dxa" w:w="90"/>
            </w:tcMar>
          </w:tcPr>
          <w:p>
            <w:pPr>
              <w:spacing w:after="0" w:line="250"/>
              <w:jc w:val="left"/>
            </w:pPr>
            <w:r>
              <w:rPr>
                <w:rFonts w:ascii="Calibri" w:cs="Calibri" w:eastAsia="Calibri" w:hAnsi="Calibri"/>
                <w:sz w:val="19"/>
                <w:szCs w:val="19"/>
              </w:rPr>
              <w:t xml:space="preserve">40%</w:t>
            </w:r>
          </w:p>
        </w:tc>
        <w:tc>
          <w:tcPr>
            <w:tcW w:type="dxa" w:w="1300"/>
            <w:tcMar>
              <w:top w:type="dxa" w:w="50"/>
              <w:left w:type="dxa" w:w="90"/>
              <w:bottom w:type="dxa" w:w="50"/>
              <w:right w:type="dxa" w:w="90"/>
            </w:tcMar>
          </w:tcPr>
          <w:p>
            <w:pPr>
              <w:spacing w:after="0" w:line="250"/>
              <w:jc w:val="center"/>
            </w:pPr>
            <w:r>
              <w:rPr>
                <w:rFonts w:ascii="Calibri" w:cs="Calibri" w:eastAsia="Calibri" w:hAnsi="Calibri"/>
                <w:sz w:val="19"/>
                <w:szCs w:val="19"/>
              </w:rPr>
              <w:t xml:space="preserve">1.0000</w:t>
            </w:r>
          </w:p>
        </w:tc>
        <w:tc>
          <w:tcPr>
            <w:tcW w:type="dxa" w:w="15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0.3200</w:t>
            </w:r>
          </w:p>
        </w:tc>
        <w:tc>
          <w:tcPr>
            <w:tcW w:type="dxa" w:w="1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0.7132</w:t>
            </w:r>
          </w:p>
        </w:tc>
        <w:tc>
          <w:tcPr>
            <w:tcW w:type="dxa" w:w="1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0.1200</w:t>
            </w:r>
          </w:p>
        </w:tc>
        <w:tc>
          <w:tcPr>
            <w:tcW w:type="dxa" w:w="13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0.5680</w:t>
            </w:r>
          </w:p>
        </w:tc>
        <w:tc>
          <w:tcPr>
            <w:tcW w:type="dxa" w:w="136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0.5724</w:t>
            </w:r>
          </w:p>
        </w:tc>
      </w:tr>
    </w:tbl>
    <w:p>
      <w:pPr>
        <w:spacing w:after="120" w:line="276"/>
        <w:jc w:val="both"/>
      </w:pPr>
      <w:r>
        <w:rPr>
          <w:rFonts w:ascii="Calibri" w:cs="Calibri" w:eastAsia="Calibri" w:hAnsi="Calibri"/>
          <w:sz w:val="22"/>
          <w:szCs w:val="22"/>
        </w:rPr>
        <w:t xml:space="preserve">Total change from 0% to 40%: −0.0168. Monotonically non-increasing: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rPr>
          <w:tblHeader/>
        </w:trPr>
        <w:tc>
          <w:tcPr>
            <w:tcW w:type="dxa" w:w="34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Correlation</w:t>
            </w:r>
          </w:p>
        </w:tc>
        <w:tc>
          <w:tcPr>
            <w:tcW w:type="dxa" w:w="12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r</w:t>
            </w:r>
          </w:p>
        </w:tc>
        <w:tc>
          <w:tcPr>
            <w:tcW w:type="dxa" w:w="47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Reading</w:t>
            </w:r>
          </w:p>
        </w:tc>
      </w:tr>
      <w:tr>
        <w:tc>
          <w:tcPr>
            <w:tcW w:type="dxa" w:w="3400"/>
            <w:tcMar>
              <w:top w:type="dxa" w:w="50"/>
              <w:left w:type="dxa" w:w="90"/>
              <w:bottom w:type="dxa" w:w="50"/>
              <w:right w:type="dxa" w:w="90"/>
            </w:tcMar>
          </w:tcPr>
          <w:p>
            <w:pPr>
              <w:spacing w:after="0" w:line="250"/>
              <w:jc w:val="left"/>
            </w:pPr>
            <w:r>
              <w:rPr>
                <w:rFonts w:ascii="Calibri" w:cs="Calibri" w:eastAsia="Calibri" w:hAnsi="Calibri"/>
                <w:sz w:val="19"/>
                <w:szCs w:val="19"/>
              </w:rPr>
              <w:t xml:space="preserve">Noise level vs ONRS</w:t>
            </w:r>
          </w:p>
        </w:tc>
        <w:tc>
          <w:tcPr>
            <w:tcW w:type="dxa" w:w="12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−0.10</w:t>
            </w:r>
          </w:p>
        </w:tc>
        <w:tc>
          <w:tcPr>
            <w:tcW w:type="dxa" w:w="4760"/>
            <w:tcMar>
              <w:top w:type="dxa" w:w="50"/>
              <w:left w:type="dxa" w:w="90"/>
              <w:bottom w:type="dxa" w:w="50"/>
              <w:right w:type="dxa" w:w="90"/>
            </w:tcMar>
          </w:tcPr>
          <w:p>
            <w:pPr>
              <w:spacing w:after="0" w:line="250"/>
              <w:jc w:val="center"/>
            </w:pPr>
            <w:r>
              <w:rPr>
                <w:rFonts w:ascii="Calibri" w:cs="Calibri" w:eastAsia="Calibri" w:hAnsi="Calibri"/>
                <w:sz w:val="19"/>
                <w:szCs w:val="19"/>
              </w:rPr>
              <w:t xml:space="preserve">Effectively no relationship</w:t>
            </w:r>
          </w:p>
        </w:tc>
      </w:tr>
      <w:tr>
        <w:tc>
          <w:tcPr>
            <w:tcW w:type="dxa" w:w="34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Noise level vs hallucination rate</w:t>
            </w:r>
          </w:p>
        </w:tc>
        <w:tc>
          <w:tcPr>
            <w:tcW w:type="dxa" w:w="12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+0.76</w:t>
            </w:r>
          </w:p>
        </w:tc>
        <w:tc>
          <w:tcPr>
            <w:tcW w:type="dxa" w:w="47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The detector does track noise</w:t>
            </w:r>
          </w:p>
        </w:tc>
      </w:tr>
      <w:tr>
        <w:tc>
          <w:tcPr>
            <w:tcW w:type="dxa" w:w="3400"/>
            <w:tcMar>
              <w:top w:type="dxa" w:w="50"/>
              <w:left w:type="dxa" w:w="90"/>
              <w:bottom w:type="dxa" w:w="50"/>
              <w:right w:type="dxa" w:w="90"/>
            </w:tcMar>
          </w:tcPr>
          <w:p>
            <w:pPr>
              <w:spacing w:after="0" w:line="250"/>
              <w:jc w:val="left"/>
            </w:pPr>
            <w:r>
              <w:rPr>
                <w:rFonts w:ascii="Calibri" w:cs="Calibri" w:eastAsia="Calibri" w:hAnsi="Calibri"/>
                <w:sz w:val="19"/>
                <w:szCs w:val="19"/>
              </w:rPr>
              <w:t xml:space="preserve">Accuracy vs ONRS</w:t>
            </w:r>
          </w:p>
        </w:tc>
        <w:tc>
          <w:tcPr>
            <w:tcW w:type="dxa" w:w="12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+0.98</w:t>
            </w:r>
          </w:p>
        </w:tc>
        <w:tc>
          <w:tcPr>
            <w:tcW w:type="dxa" w:w="4760"/>
            <w:tcMar>
              <w:top w:type="dxa" w:w="50"/>
              <w:left w:type="dxa" w:w="90"/>
              <w:bottom w:type="dxa" w:w="50"/>
              <w:right w:type="dxa" w:w="90"/>
            </w:tcMar>
          </w:tcPr>
          <w:p>
            <w:pPr>
              <w:spacing w:after="0" w:line="250"/>
              <w:jc w:val="center"/>
            </w:pPr>
            <w:r>
              <w:rPr>
                <w:rFonts w:ascii="Calibri" w:cs="Calibri" w:eastAsia="Calibri" w:hAnsi="Calibri"/>
                <w:sz w:val="19"/>
                <w:szCs w:val="19"/>
              </w:rPr>
              <w:t xml:space="preserve">The composite is empirically accuracy in disguise</w:t>
            </w:r>
          </w:p>
        </w:tc>
      </w:tr>
      <w:tr>
        <w:tc>
          <w:tcPr>
            <w:tcW w:type="dxa" w:w="34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Accuracy vs ECE</w:t>
            </w:r>
          </w:p>
        </w:tc>
        <w:tc>
          <w:tcPr>
            <w:tcW w:type="dxa" w:w="12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−0.97</w:t>
            </w:r>
          </w:p>
        </w:tc>
        <w:tc>
          <w:tcPr>
            <w:tcW w:type="dxa" w:w="47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Calibration carries no information independent of accuracy</w:t>
            </w:r>
          </w:p>
        </w:tc>
      </w:tr>
    </w:tbl>
    <w:p>
      <w:pPr>
        <w:pStyle w:val="Heading3"/>
        <w:spacing w:after="80" w:before="180"/>
      </w:pPr>
      <w:r>
        <w:rPr>
          <w:rFonts w:ascii="Calibri" w:cs="Calibri" w:eastAsia="Calibri" w:hAnsi="Calibri"/>
          <w:b/>
          <w:bCs/>
          <w:color w:val="404040"/>
          <w:sz w:val="23"/>
          <w:szCs w:val="23"/>
        </w:rPr>
        <w:t xml:space="preserve">Why the composite fails to track noise</w:t>
      </w:r>
    </w:p>
    <w:p>
      <w:pPr>
        <w:spacing w:after="120" w:line="276"/>
        <w:jc w:val="both"/>
      </w:pPr>
      <w:r>
        <w:rPr>
          <w:rFonts w:ascii="Calibri" w:cs="Calibri" w:eastAsia="Calibri" w:hAnsi="Calibri"/>
          <w:sz w:val="22"/>
          <w:szCs w:val="22"/>
        </w:rPr>
        <w:t xml:space="preserve">Because self-reported confidence is near-constant at approximately 0.90, calibration error becomes an almost deterministic function of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Noise</w:t>
            </w:r>
          </w:p>
        </w:tc>
        <w:tc>
          <w:tcPr>
            <w:tcW w:type="dxa" w:w="234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Accuracy</w:t>
            </w:r>
          </w:p>
        </w:tc>
        <w:tc>
          <w:tcPr>
            <w:tcW w:type="dxa" w:w="234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ECE observed</w:t>
            </w:r>
          </w:p>
        </w:tc>
        <w:tc>
          <w:tcPr>
            <w:tcW w:type="dxa" w:w="234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0.90 minus accuracy</w:t>
            </w:r>
          </w:p>
        </w:tc>
      </w:tr>
      <w:tr>
        <w:tc>
          <w:tcPr>
            <w:tcW w:type="dxa" w:w="2340"/>
            <w:tcMar>
              <w:top w:type="dxa" w:w="50"/>
              <w:left w:type="dxa" w:w="90"/>
              <w:bottom w:type="dxa" w:w="50"/>
              <w:right w:type="dxa" w:w="90"/>
            </w:tcMar>
          </w:tcPr>
          <w:p>
            <w:pPr>
              <w:spacing w:after="0" w:line="250"/>
              <w:jc w:val="left"/>
            </w:pPr>
            <w:r>
              <w:rPr>
                <w:rFonts w:ascii="Calibri" w:cs="Calibri" w:eastAsia="Calibri" w:hAnsi="Calibri"/>
                <w:sz w:val="19"/>
                <w:szCs w:val="19"/>
              </w:rPr>
              <w:t xml:space="preserve">0%</w:t>
            </w:r>
          </w:p>
        </w:tc>
        <w:tc>
          <w:tcPr>
            <w:tcW w:type="dxa" w:w="2340"/>
            <w:tcMar>
              <w:top w:type="dxa" w:w="50"/>
              <w:left w:type="dxa" w:w="90"/>
              <w:bottom w:type="dxa" w:w="50"/>
              <w:right w:type="dxa" w:w="90"/>
            </w:tcMar>
          </w:tcPr>
          <w:p>
            <w:pPr>
              <w:spacing w:after="0" w:line="250"/>
              <w:jc w:val="center"/>
            </w:pPr>
            <w:r>
              <w:rPr>
                <w:rFonts w:ascii="Calibri" w:cs="Calibri" w:eastAsia="Calibri" w:hAnsi="Calibri"/>
                <w:sz w:val="19"/>
                <w:szCs w:val="19"/>
              </w:rPr>
              <w:t xml:space="preserve">0.3400</w:t>
            </w:r>
          </w:p>
        </w:tc>
        <w:tc>
          <w:tcPr>
            <w:tcW w:type="dxa" w:w="234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0.5560</w:t>
            </w:r>
          </w:p>
        </w:tc>
        <w:tc>
          <w:tcPr>
            <w:tcW w:type="dxa" w:w="234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0.5600</w:t>
            </w:r>
          </w:p>
        </w:tc>
      </w:tr>
      <w:tr>
        <w:tc>
          <w:tcPr>
            <w:tcW w:type="dxa" w:w="234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10%</w:t>
            </w:r>
          </w:p>
        </w:tc>
        <w:tc>
          <w:tcPr>
            <w:tcW w:type="dxa" w:w="234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0.3000</w:t>
            </w:r>
          </w:p>
        </w:tc>
        <w:tc>
          <w:tcPr>
            <w:tcW w:type="dxa" w:w="234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0.5800</w:t>
            </w:r>
          </w:p>
        </w:tc>
        <w:tc>
          <w:tcPr>
            <w:tcW w:type="dxa" w:w="234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0.6000</w:t>
            </w:r>
          </w:p>
        </w:tc>
      </w:tr>
      <w:tr>
        <w:tc>
          <w:tcPr>
            <w:tcW w:type="dxa" w:w="2340"/>
            <w:tcMar>
              <w:top w:type="dxa" w:w="50"/>
              <w:left w:type="dxa" w:w="90"/>
              <w:bottom w:type="dxa" w:w="50"/>
              <w:right w:type="dxa" w:w="90"/>
            </w:tcMar>
          </w:tcPr>
          <w:p>
            <w:pPr>
              <w:spacing w:after="0" w:line="250"/>
              <w:jc w:val="left"/>
            </w:pPr>
            <w:r>
              <w:rPr>
                <w:rFonts w:ascii="Calibri" w:cs="Calibri" w:eastAsia="Calibri" w:hAnsi="Calibri"/>
                <w:sz w:val="19"/>
                <w:szCs w:val="19"/>
              </w:rPr>
              <w:t xml:space="preserve">20%</w:t>
            </w:r>
          </w:p>
        </w:tc>
        <w:tc>
          <w:tcPr>
            <w:tcW w:type="dxa" w:w="2340"/>
            <w:tcMar>
              <w:top w:type="dxa" w:w="50"/>
              <w:left w:type="dxa" w:w="90"/>
              <w:bottom w:type="dxa" w:w="50"/>
              <w:right w:type="dxa" w:w="90"/>
            </w:tcMar>
          </w:tcPr>
          <w:p>
            <w:pPr>
              <w:spacing w:after="0" w:line="250"/>
              <w:jc w:val="center"/>
            </w:pPr>
            <w:r>
              <w:rPr>
                <w:rFonts w:ascii="Calibri" w:cs="Calibri" w:eastAsia="Calibri" w:hAnsi="Calibri"/>
                <w:sz w:val="19"/>
                <w:szCs w:val="19"/>
              </w:rPr>
              <w:t xml:space="preserve">0.3800</w:t>
            </w:r>
          </w:p>
        </w:tc>
        <w:tc>
          <w:tcPr>
            <w:tcW w:type="dxa" w:w="2340"/>
            <w:tcMar>
              <w:top w:type="dxa" w:w="50"/>
              <w:left w:type="dxa" w:w="90"/>
              <w:bottom w:type="dxa" w:w="50"/>
              <w:right w:type="dxa" w:w="90"/>
            </w:tcMar>
          </w:tcPr>
          <w:p>
            <w:pPr>
              <w:spacing w:after="0" w:line="250"/>
              <w:jc w:val="center"/>
            </w:pPr>
            <w:r>
              <w:rPr>
                <w:rFonts w:ascii="Calibri" w:cs="Calibri" w:eastAsia="Calibri" w:hAnsi="Calibri"/>
                <w:sz w:val="19"/>
                <w:szCs w:val="19"/>
              </w:rPr>
              <w:t xml:space="preserve">0.4920</w:t>
            </w:r>
          </w:p>
        </w:tc>
        <w:tc>
          <w:tcPr>
            <w:tcW w:type="dxa" w:w="234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0.5200</w:t>
            </w:r>
          </w:p>
        </w:tc>
      </w:tr>
      <w:tr>
        <w:tc>
          <w:tcPr>
            <w:tcW w:type="dxa" w:w="234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30%</w:t>
            </w:r>
          </w:p>
        </w:tc>
        <w:tc>
          <w:tcPr>
            <w:tcW w:type="dxa" w:w="234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0.3600</w:t>
            </w:r>
          </w:p>
        </w:tc>
        <w:tc>
          <w:tcPr>
            <w:tcW w:type="dxa" w:w="234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0.5240</w:t>
            </w:r>
          </w:p>
        </w:tc>
        <w:tc>
          <w:tcPr>
            <w:tcW w:type="dxa" w:w="234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0.5400</w:t>
            </w:r>
          </w:p>
        </w:tc>
      </w:tr>
      <w:tr>
        <w:tc>
          <w:tcPr>
            <w:tcW w:type="dxa" w:w="2340"/>
            <w:tcMar>
              <w:top w:type="dxa" w:w="50"/>
              <w:left w:type="dxa" w:w="90"/>
              <w:bottom w:type="dxa" w:w="50"/>
              <w:right w:type="dxa" w:w="90"/>
            </w:tcMar>
          </w:tcPr>
          <w:p>
            <w:pPr>
              <w:spacing w:after="0" w:line="250"/>
              <w:jc w:val="left"/>
            </w:pPr>
            <w:r>
              <w:rPr>
                <w:rFonts w:ascii="Calibri" w:cs="Calibri" w:eastAsia="Calibri" w:hAnsi="Calibri"/>
                <w:sz w:val="19"/>
                <w:szCs w:val="19"/>
              </w:rPr>
              <w:t xml:space="preserve">40%</w:t>
            </w:r>
          </w:p>
        </w:tc>
        <w:tc>
          <w:tcPr>
            <w:tcW w:type="dxa" w:w="2340"/>
            <w:tcMar>
              <w:top w:type="dxa" w:w="50"/>
              <w:left w:type="dxa" w:w="90"/>
              <w:bottom w:type="dxa" w:w="50"/>
              <w:right w:type="dxa" w:w="90"/>
            </w:tcMar>
          </w:tcPr>
          <w:p>
            <w:pPr>
              <w:spacing w:after="0" w:line="250"/>
              <w:jc w:val="center"/>
            </w:pPr>
            <w:r>
              <w:rPr>
                <w:rFonts w:ascii="Calibri" w:cs="Calibri" w:eastAsia="Calibri" w:hAnsi="Calibri"/>
                <w:sz w:val="19"/>
                <w:szCs w:val="19"/>
              </w:rPr>
              <w:t xml:space="preserve">0.3200</w:t>
            </w:r>
          </w:p>
        </w:tc>
        <w:tc>
          <w:tcPr>
            <w:tcW w:type="dxa" w:w="234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0.5680</w:t>
            </w:r>
          </w:p>
        </w:tc>
        <w:tc>
          <w:tcPr>
            <w:tcW w:type="dxa" w:w="234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0.5800</w:t>
            </w:r>
          </w:p>
        </w:tc>
      </w:tr>
    </w:tbl>
    <w:p>
      <w:pPr>
        <w:spacing w:after="120" w:line="276"/>
        <w:jc w:val="both"/>
      </w:pPr>
      <w:r>
        <w:rPr>
          <w:rFonts w:ascii="Calibri" w:cs="Calibri" w:eastAsia="Calibri" w:hAnsi="Calibri"/>
          <w:b/>
          <w:bCs/>
          <w:sz w:val="22"/>
          <w:szCs w:val="22"/>
        </w:rPr>
        <w:t xml:space="preserve">The nominal 0.30 weight on accuracy is therefore in practice approximately 0.50, with a further 0.20 entering through the degenerate calibration term. The composite inherits accuracy’s full instability, which at this sample size and noise magnitude exceeds the effect being measured.</w:t>
      </w:r>
    </w:p>
    <w:p>
      <w:pPr>
        <w:pStyle w:val="Heading2"/>
        <w:spacing w:after="100" w:before="240"/>
      </w:pPr>
      <w:r>
        <w:rPr>
          <w:rFonts w:ascii="Calibri" w:cs="Calibri" w:eastAsia="Calibri" w:hAnsi="Calibri"/>
          <w:b/>
          <w:bCs/>
          <w:color w:val="2E5496"/>
          <w:sz w:val="26"/>
          <w:szCs w:val="26"/>
        </w:rPr>
        <w:t xml:space="preserve">4.5 Experiment 5 — Controlled comparison across evidence conditions (n = 50)</w:t>
      </w:r>
    </w:p>
    <w:p>
      <w:pPr>
        <w:spacing w:after="120" w:line="276"/>
        <w:jc w:val="both"/>
      </w:pPr>
      <w:r>
        <w:rPr>
          <w:rFonts w:ascii="Calibri" w:cs="Calibri" w:eastAsia="Calibri" w:hAnsi="Calibri"/>
          <w:sz w:val="22"/>
          <w:szCs w:val="22"/>
        </w:rPr>
        <w:t xml:space="preserve">This experiment was added following supervisory feedback that quoting published FinQA figures alongside these results was not a controlled comparison, since those systems differ in architecture, training regime, split and scorer simultaneously. Every condition below shares the same items, generator, prompt, scoring code, gold-answer resolution and verifier. Only the evidence supplied to the model varies, so differences are attributable to the manipulated variable rather than to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50"/>
        <w:gridCol w:w="1350"/>
        <w:gridCol w:w="1150"/>
        <w:gridCol w:w="1300"/>
        <w:gridCol w:w="1000"/>
        <w:gridCol w:w="1010"/>
      </w:tblGrid>
      <w:tr>
        <w:trPr>
          <w:tblHeader/>
        </w:trPr>
        <w:tc>
          <w:tcPr>
            <w:tcW w:type="dxa" w:w="24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Condition</w:t>
            </w:r>
          </w:p>
        </w:tc>
        <w:tc>
          <w:tcPr>
            <w:tcW w:type="dxa" w:w="115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Accuracy</w:t>
            </w:r>
          </w:p>
        </w:tc>
        <w:tc>
          <w:tcPr>
            <w:tcW w:type="dxa" w:w="135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95% CI</w:t>
            </w:r>
          </w:p>
        </w:tc>
        <w:tc>
          <w:tcPr>
            <w:tcW w:type="dxa" w:w="115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NESS</w:t>
            </w:r>
          </w:p>
        </w:tc>
        <w:tc>
          <w:tcPr>
            <w:tcW w:type="dxa" w:w="13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Hallucination</w:t>
            </w:r>
          </w:p>
        </w:tc>
        <w:tc>
          <w:tcPr>
            <w:tcW w:type="dxa" w:w="10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ECE</w:t>
            </w:r>
          </w:p>
        </w:tc>
        <w:tc>
          <w:tcPr>
            <w:tcW w:type="dxa" w:w="101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ONRS</w:t>
            </w:r>
          </w:p>
        </w:tc>
      </w:tr>
      <w:tr>
        <w:tc>
          <w:tcPr>
            <w:tcW w:type="dxa" w:w="2400"/>
            <w:tcMar>
              <w:top w:type="dxa" w:w="50"/>
              <w:left w:type="dxa" w:w="90"/>
              <w:bottom w:type="dxa" w:w="50"/>
              <w:right w:type="dxa" w:w="90"/>
            </w:tcMar>
          </w:tcPr>
          <w:p>
            <w:pPr>
              <w:spacing w:after="0" w:line="250"/>
              <w:jc w:val="left"/>
            </w:pPr>
            <w:r>
              <w:rPr>
                <w:rFonts w:ascii="Calibri" w:cs="Calibri" w:eastAsia="Calibri" w:hAnsi="Calibri"/>
                <w:sz w:val="19"/>
                <w:szCs w:val="19"/>
              </w:rPr>
              <w:t xml:space="preserve">Closed-book (no evidence)</w:t>
            </w:r>
          </w:p>
        </w:tc>
        <w:tc>
          <w:tcPr>
            <w:tcW w:type="dxa" w:w="115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0.0000</w:t>
            </w:r>
          </w:p>
        </w:tc>
        <w:tc>
          <w:tcPr>
            <w:tcW w:type="dxa" w:w="135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[0.00, 0.07]</w:t>
            </w:r>
          </w:p>
        </w:tc>
        <w:tc>
          <w:tcPr>
            <w:tcW w:type="dxa" w:w="115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0.0000</w:t>
            </w:r>
          </w:p>
        </w:tc>
        <w:tc>
          <w:tcPr>
            <w:tcW w:type="dxa" w:w="1300"/>
            <w:tcMar>
              <w:top w:type="dxa" w:w="50"/>
              <w:left w:type="dxa" w:w="90"/>
              <w:bottom w:type="dxa" w:w="50"/>
              <w:right w:type="dxa" w:w="90"/>
            </w:tcMar>
          </w:tcPr>
          <w:p>
            <w:pPr>
              <w:spacing w:after="0" w:line="250"/>
              <w:jc w:val="center"/>
            </w:pPr>
            <w:r>
              <w:rPr>
                <w:rFonts w:ascii="Calibri" w:cs="Calibri" w:eastAsia="Calibri" w:hAnsi="Calibri"/>
                <w:sz w:val="19"/>
                <w:szCs w:val="19"/>
              </w:rPr>
              <w:t xml:space="preserve">1.0000</w:t>
            </w:r>
          </w:p>
        </w:tc>
        <w:tc>
          <w:tcPr>
            <w:tcW w:type="dxa" w:w="10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0.5200</w:t>
            </w:r>
          </w:p>
        </w:tc>
        <w:tc>
          <w:tcPr>
            <w:tcW w:type="dxa" w:w="101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0.0960</w:t>
            </w:r>
          </w:p>
        </w:tc>
      </w:tr>
      <w:tr>
        <w:tc>
          <w:tcPr>
            <w:tcW w:type="dxa" w:w="24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Retrieval (system under test)</w:t>
            </w:r>
          </w:p>
        </w:tc>
        <w:tc>
          <w:tcPr>
            <w:tcW w:type="dxa" w:w="115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0.3400</w:t>
            </w:r>
          </w:p>
        </w:tc>
        <w:tc>
          <w:tcPr>
            <w:tcW w:type="dxa" w:w="135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[0.22, 0.48]</w:t>
            </w:r>
          </w:p>
        </w:tc>
        <w:tc>
          <w:tcPr>
            <w:tcW w:type="dxa" w:w="115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0.7145</w:t>
            </w:r>
          </w:p>
        </w:tc>
        <w:tc>
          <w:tcPr>
            <w:tcW w:type="dxa" w:w="13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0.0800</w:t>
            </w:r>
          </w:p>
        </w:tc>
        <w:tc>
          <w:tcPr>
            <w:tcW w:type="dxa" w:w="10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0.5560</w:t>
            </w:r>
          </w:p>
        </w:tc>
        <w:tc>
          <w:tcPr>
            <w:tcW w:type="dxa" w:w="101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0.5891</w:t>
            </w:r>
          </w:p>
        </w:tc>
      </w:tr>
      <w:tr>
        <w:tc>
          <w:tcPr>
            <w:tcW w:type="dxa" w:w="2400"/>
            <w:tcMar>
              <w:top w:type="dxa" w:w="50"/>
              <w:left w:type="dxa" w:w="90"/>
              <w:bottom w:type="dxa" w:w="50"/>
              <w:right w:type="dxa" w:w="90"/>
            </w:tcMar>
          </w:tcPr>
          <w:p>
            <w:pPr>
              <w:spacing w:after="0" w:line="250"/>
              <w:jc w:val="left"/>
            </w:pPr>
            <w:r>
              <w:rPr>
                <w:rFonts w:ascii="Calibri" w:cs="Calibri" w:eastAsia="Calibri" w:hAnsi="Calibri"/>
                <w:sz w:val="19"/>
                <w:szCs w:val="19"/>
              </w:rPr>
              <w:t xml:space="preserve">Oracle (FinQA gold evidence)</w:t>
            </w:r>
          </w:p>
        </w:tc>
        <w:tc>
          <w:tcPr>
            <w:tcW w:type="dxa" w:w="1150"/>
            <w:tcMar>
              <w:top w:type="dxa" w:w="50"/>
              <w:left w:type="dxa" w:w="90"/>
              <w:bottom w:type="dxa" w:w="50"/>
              <w:right w:type="dxa" w:w="90"/>
            </w:tcMar>
          </w:tcPr>
          <w:p>
            <w:pPr>
              <w:spacing w:after="0" w:line="250"/>
              <w:jc w:val="center"/>
            </w:pPr>
            <w:r>
              <w:rPr>
                <w:rFonts w:ascii="Calibri" w:cs="Calibri" w:eastAsia="Calibri" w:hAnsi="Calibri"/>
                <w:sz w:val="19"/>
                <w:szCs w:val="19"/>
              </w:rPr>
              <w:t xml:space="preserve">0.4200</w:t>
            </w:r>
          </w:p>
        </w:tc>
        <w:tc>
          <w:tcPr>
            <w:tcW w:type="dxa" w:w="1350"/>
            <w:tcMar>
              <w:top w:type="dxa" w:w="50"/>
              <w:left w:type="dxa" w:w="90"/>
              <w:bottom w:type="dxa" w:w="50"/>
              <w:right w:type="dxa" w:w="90"/>
            </w:tcMar>
          </w:tcPr>
          <w:p>
            <w:pPr>
              <w:spacing w:after="0" w:line="250"/>
              <w:jc w:val="center"/>
            </w:pPr>
            <w:r>
              <w:rPr>
                <w:rFonts w:ascii="Calibri" w:cs="Calibri" w:eastAsia="Calibri" w:hAnsi="Calibri"/>
                <w:sz w:val="19"/>
                <w:szCs w:val="19"/>
              </w:rPr>
              <w:t xml:space="preserve">[0.29, 0.56]</w:t>
            </w:r>
          </w:p>
        </w:tc>
        <w:tc>
          <w:tcPr>
            <w:tcW w:type="dxa" w:w="1150"/>
            <w:tcMar>
              <w:top w:type="dxa" w:w="50"/>
              <w:left w:type="dxa" w:w="90"/>
              <w:bottom w:type="dxa" w:w="50"/>
              <w:right w:type="dxa" w:w="90"/>
            </w:tcMar>
          </w:tcPr>
          <w:p>
            <w:pPr>
              <w:spacing w:after="0" w:line="250"/>
              <w:jc w:val="center"/>
            </w:pPr>
            <w:r>
              <w:rPr>
                <w:rFonts w:ascii="Calibri" w:cs="Calibri" w:eastAsia="Calibri" w:hAnsi="Calibri"/>
                <w:sz w:val="19"/>
                <w:szCs w:val="19"/>
              </w:rPr>
              <w:t xml:space="preserve">0.6278</w:t>
            </w:r>
          </w:p>
        </w:tc>
        <w:tc>
          <w:tcPr>
            <w:tcW w:type="dxa" w:w="13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0.2000</w:t>
            </w:r>
          </w:p>
        </w:tc>
        <w:tc>
          <w:tcPr>
            <w:tcW w:type="dxa" w:w="10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0.4660</w:t>
            </w:r>
          </w:p>
        </w:tc>
        <w:tc>
          <w:tcPr>
            <w:tcW w:type="dxa" w:w="101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0.5811</w:t>
            </w:r>
          </w:p>
        </w:tc>
      </w:tr>
    </w:tbl>
    <w:p>
      <w:pPr>
        <w:pStyle w:val="Heading3"/>
        <w:spacing w:after="80" w:before="180"/>
      </w:pPr>
      <w:r>
        <w:rPr>
          <w:rFonts w:ascii="Calibri" w:cs="Calibri" w:eastAsia="Calibri" w:hAnsi="Calibri"/>
          <w:b/>
          <w:bCs/>
          <w:color w:val="404040"/>
          <w:sz w:val="23"/>
          <w:szCs w:val="23"/>
        </w:rPr>
        <w:t xml:space="preserve">Error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Quantity</w:t>
            </w:r>
          </w:p>
        </w:tc>
        <w:tc>
          <w:tcPr>
            <w:tcW w:type="dxa" w:w="14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Value</w:t>
            </w:r>
          </w:p>
        </w:tc>
        <w:tc>
          <w:tcPr>
            <w:tcW w:type="dxa" w:w="43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Interpretation</w:t>
            </w:r>
          </w:p>
        </w:tc>
      </w:tr>
      <w:tr>
        <w:tc>
          <w:tcPr>
            <w:tcW w:type="dxa" w:w="3600"/>
            <w:tcMar>
              <w:top w:type="dxa" w:w="50"/>
              <w:left w:type="dxa" w:w="90"/>
              <w:bottom w:type="dxa" w:w="50"/>
              <w:right w:type="dxa" w:w="90"/>
            </w:tcMar>
          </w:tcPr>
          <w:p>
            <w:pPr>
              <w:spacing w:after="0" w:line="250"/>
              <w:jc w:val="left"/>
            </w:pPr>
            <w:r>
              <w:rPr>
                <w:rFonts w:ascii="Calibri" w:cs="Calibri" w:eastAsia="Calibri" w:hAnsi="Calibri"/>
                <w:sz w:val="19"/>
                <w:szCs w:val="19"/>
              </w:rPr>
              <w:t xml:space="preserve">Retrieval contribution over closed-book</w:t>
            </w:r>
          </w:p>
        </w:tc>
        <w:tc>
          <w:tcPr>
            <w:tcW w:type="dxa" w:w="1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+0.3400</w:t>
            </w:r>
          </w:p>
        </w:tc>
        <w:tc>
          <w:tcPr>
            <w:tcW w:type="dxa" w:w="4360"/>
            <w:tcMar>
              <w:top w:type="dxa" w:w="50"/>
              <w:left w:type="dxa" w:w="90"/>
              <w:bottom w:type="dxa" w:w="50"/>
              <w:right w:type="dxa" w:w="90"/>
            </w:tcMar>
          </w:tcPr>
          <w:p>
            <w:pPr>
              <w:spacing w:after="0" w:line="250"/>
              <w:jc w:val="center"/>
            </w:pPr>
            <w:r>
              <w:rPr>
                <w:rFonts w:ascii="Calibri" w:cs="Calibri" w:eastAsia="Calibri" w:hAnsi="Calibri"/>
                <w:sz w:val="19"/>
                <w:szCs w:val="19"/>
              </w:rPr>
              <w:t xml:space="preserve">Retrieval supplies the entire accuracy of the system</w:t>
            </w:r>
          </w:p>
        </w:tc>
      </w:tr>
      <w:tr>
        <w:tc>
          <w:tcPr>
            <w:tcW w:type="dxa" w:w="36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Retrieval-attributable error</w:t>
            </w:r>
          </w:p>
        </w:tc>
        <w:tc>
          <w:tcPr>
            <w:tcW w:type="dxa" w:w="14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+0.0800</w:t>
            </w:r>
          </w:p>
        </w:tc>
        <w:tc>
          <w:tcPr>
            <w:tcW w:type="dxa" w:w="43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Recoverable by perfect retrieval; 12.1% of remaining error</w:t>
            </w:r>
          </w:p>
        </w:tc>
      </w:tr>
      <w:tr>
        <w:tc>
          <w:tcPr>
            <w:tcW w:type="dxa" w:w="3600"/>
            <w:tcMar>
              <w:top w:type="dxa" w:w="50"/>
              <w:left w:type="dxa" w:w="90"/>
              <w:bottom w:type="dxa" w:w="50"/>
              <w:right w:type="dxa" w:w="90"/>
            </w:tcMar>
          </w:tcPr>
          <w:p>
            <w:pPr>
              <w:spacing w:after="0" w:line="250"/>
              <w:jc w:val="left"/>
            </w:pPr>
            <w:r>
              <w:rPr>
                <w:rFonts w:ascii="Calibri" w:cs="Calibri" w:eastAsia="Calibri" w:hAnsi="Calibri"/>
                <w:sz w:val="19"/>
                <w:szCs w:val="19"/>
              </w:rPr>
              <w:t xml:space="preserve">Reasoning-attributable error</w:t>
            </w:r>
          </w:p>
        </w:tc>
        <w:tc>
          <w:tcPr>
            <w:tcW w:type="dxa" w:w="1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0.5800</w:t>
            </w:r>
          </w:p>
        </w:tc>
        <w:tc>
          <w:tcPr>
            <w:tcW w:type="dxa" w:w="4360"/>
            <w:tcMar>
              <w:top w:type="dxa" w:w="50"/>
              <w:left w:type="dxa" w:w="90"/>
              <w:bottom w:type="dxa" w:w="50"/>
              <w:right w:type="dxa" w:w="90"/>
            </w:tcMar>
          </w:tcPr>
          <w:p>
            <w:pPr>
              <w:spacing w:after="0" w:line="250"/>
              <w:jc w:val="center"/>
            </w:pPr>
            <w:r>
              <w:rPr>
                <w:rFonts w:ascii="Calibri" w:cs="Calibri" w:eastAsia="Calibri" w:hAnsi="Calibri"/>
                <w:sz w:val="19"/>
                <w:szCs w:val="19"/>
              </w:rPr>
              <w:t xml:space="preserve">Persists with perfect evidence; 87.9% of remaining error</w:t>
            </w:r>
          </w:p>
        </w:tc>
      </w:tr>
    </w:tbl>
    <w:p>
      <w:pPr>
        <w:pStyle w:val="Heading3"/>
        <w:spacing w:after="80" w:before="180"/>
      </w:pPr>
      <w:r>
        <w:rPr>
          <w:rFonts w:ascii="Calibri" w:cs="Calibri" w:eastAsia="Calibri" w:hAnsi="Calibri"/>
          <w:b/>
          <w:bCs/>
          <w:color w:val="404040"/>
          <w:sz w:val="23"/>
          <w:szCs w:val="23"/>
        </w:rPr>
        <w:t xml:space="preserve">Findings</w:t>
      </w:r>
    </w:p>
    <w:p>
      <w:pPr>
        <w:spacing w:after="120" w:line="276"/>
        <w:jc w:val="both"/>
      </w:pPr>
      <w:r>
        <w:rPr>
          <w:rFonts w:ascii="Calibri" w:cs="Calibri" w:eastAsia="Calibri" w:hAnsi="Calibri"/>
          <w:sz w:val="22"/>
          <w:szCs w:val="22"/>
        </w:rPr>
        <w:t xml:space="preserve">The closed-book condition scores zero, confirming that no sampled item is answerable from parametric knowledge alone. The benchmark does not leak, and the retrieval stage accounts for the entire accuracy of the system. The hallucination detector flags every closed-book response, providing a positive control that complements Experiment 2 by demonstrating the module responds when grounding is absent altogether. This is a stronger validation of the detector than the adversarial experiment achieved, since it moves the flag rate from 0.08 to 1.00 rather than from 0.10 to 0.20.</w:t>
      </w:r>
    </w:p>
    <w:p>
      <w:pPr>
        <w:spacing w:after="120" w:line="276"/>
        <w:jc w:val="both"/>
      </w:pPr>
      <w:r>
        <w:rPr>
          <w:rFonts w:ascii="Calibri" w:cs="Calibri" w:eastAsia="Calibri" w:hAnsi="Calibri"/>
          <w:b/>
          <w:bCs/>
          <w:sz w:val="22"/>
          <w:szCs w:val="22"/>
        </w:rPr>
        <w:t xml:space="preserve">Supplying perfect evidence raises accuracy only from 0.340 to 0.420. Approximately 12% of remaining error is retrieval-attributable, while approximately 88% persists with ideal evidence and is bounded by the generator’s reasoning capacity. This retrospectively explains why the two retrieval modifications in Section 3.6 could not have succeeded: the entire headroom available to them was eight accuracy points. It also redirects future effort from retrieval engineering toward generator capacity.</w:t>
      </w:r>
    </w:p>
    <w:p>
      <w:pPr>
        <w:spacing w:after="120" w:line="276"/>
        <w:jc w:val="both"/>
      </w:pPr>
      <w:r>
        <w:rPr>
          <w:rFonts w:ascii="Calibri" w:cs="Calibri" w:eastAsia="Calibri" w:hAnsi="Calibri"/>
          <w:b/>
          <w:bCs/>
          <w:sz w:val="22"/>
          <w:szCs w:val="22"/>
        </w:rPr>
        <w:t xml:space="preserve">The oracle condition is more accurate than the retrieval condition, yet the composite ranks it lower at 0.5811 against 0.5891. A summary score that inverts the ordering of two configurations on the metric of primary interest is not serving its purpose. This is a second and independent failure of the composite: unlike the correlation argument in Experiment 4 it does not depend on sample size or on trend analysis, since one configuration is unambiguously more accurate than the other on identical items under an identical scorer.</w:t>
      </w:r>
    </w:p>
    <w:p>
      <w:pPr>
        <w:spacing w:after="120" w:line="276"/>
        <w:jc w:val="both"/>
      </w:pPr>
      <w:r>
        <w:rPr>
          <w:rFonts w:ascii="Calibri" w:cs="Calibri" w:eastAsia="Calibri" w:hAnsi="Calibri"/>
          <w:i/>
          <w:iCs/>
          <w:sz w:val="22"/>
          <w:szCs w:val="22"/>
        </w:rPr>
        <w:t xml:space="preserve">The lower oracle evidence-support figure (0.628 against 0.715) is an artefact of evidence size rather than degraded grounding. Gold evidence is a far smaller block containing only strictly necessary lines, so fewer response numbers find a literal match. This is noted to prevent it being read as the oracle condition being less well grounded.</w:t>
      </w:r>
    </w:p>
    <w:p>
      <w:pPr>
        <w:pStyle w:val="Heading2"/>
        <w:spacing w:after="100" w:before="240"/>
      </w:pPr>
      <w:r>
        <w:rPr>
          <w:rFonts w:ascii="Calibri" w:cs="Calibri" w:eastAsia="Calibri" w:hAnsi="Calibri"/>
          <w:b/>
          <w:bCs/>
          <w:color w:val="2E5496"/>
          <w:sz w:val="26"/>
          <w:szCs w:val="26"/>
        </w:rPr>
        <w:t xml:space="preserve">4.6 Post-hoc weight-sensitivity analysis (Experiments 4 and 5)</w:t>
      </w:r>
    </w:p>
    <w:p>
      <w:pPr>
        <w:spacing w:after="120" w:line="276"/>
        <w:jc w:val="both"/>
      </w:pPr>
      <w:r>
        <w:rPr>
          <w:rFonts w:ascii="Calibri" w:cs="Calibri" w:eastAsia="Calibri" w:hAnsi="Calibri"/>
          <w:sz w:val="22"/>
          <w:szCs w:val="22"/>
        </w:rPr>
        <w:t xml:space="preserve">The composite was evaluated under one frozen weighting: 0.30 accuracy, 0.30 NESS, 0.20 hallucination and 0.20 calibration. To test whether either failure is an artefact of that choice, the recorded component values from Experiments 4 and 5 were re-scored post hoc under every weighting on a 0.05 grid over the four weights, giving 1,771 weight vectors that each sum to one. No new generations were run. The analysis calls the same composite function used by the experiments, and first confirms that the default weights reproduce every stored composite value exactly. A weighting counts as tracking noise if its correlation with noise level across the five levels of Experiment 4 is at most −0.5. It counts as ranking correctly if it orders the Experiment 5 conditions oracle above retrieval above closed-book.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60"/>
        <w:gridCol w:w="2900"/>
      </w:tblGrid>
      <w:tr>
        <w:trPr>
          <w:tblHeader/>
        </w:trPr>
        <w:tc>
          <w:tcPr>
            <w:tcW w:type="dxa" w:w="646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Weightings that…</w:t>
            </w:r>
          </w:p>
        </w:tc>
        <w:tc>
          <w:tcPr>
            <w:tcW w:type="dxa" w:w="29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Share of 1,771</w:t>
            </w:r>
          </w:p>
        </w:tc>
      </w:tr>
      <w:tr>
        <w:tc>
          <w:tcPr>
            <w:tcW w:type="dxa" w:w="6460"/>
            <w:tcMar>
              <w:top w:type="dxa" w:w="50"/>
              <w:left w:type="dxa" w:w="90"/>
              <w:bottom w:type="dxa" w:w="50"/>
              <w:right w:type="dxa" w:w="90"/>
            </w:tcMar>
          </w:tcPr>
          <w:p>
            <w:pPr>
              <w:spacing w:after="0" w:line="250"/>
              <w:jc w:val="left"/>
            </w:pPr>
            <w:r>
              <w:rPr>
                <w:rFonts w:ascii="Calibri" w:cs="Calibri" w:eastAsia="Calibri" w:hAnsi="Calibri"/>
                <w:sz w:val="19"/>
                <w:szCs w:val="19"/>
              </w:rPr>
              <w:t xml:space="preserve">Track noise (r ≤ −0.5)</w:t>
            </w:r>
          </w:p>
        </w:tc>
        <w:tc>
          <w:tcPr>
            <w:tcW w:type="dxa" w:w="2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19.2%</w:t>
            </w:r>
          </w:p>
        </w:tc>
      </w:tr>
      <w:tr>
        <w:tc>
          <w:tcPr>
            <w:tcW w:type="dxa" w:w="6460"/>
            <w:tcMar>
              <w:top w:type="dxa" w:w="50"/>
              <w:left w:type="dxa" w:w="90"/>
              <w:bottom w:type="dxa" w:w="50"/>
              <w:right w:type="dxa" w:w="90"/>
            </w:tcMar>
          </w:tcPr>
          <w:p>
            <w:pPr>
              <w:spacing w:after="0" w:line="250"/>
              <w:jc w:val="left"/>
            </w:pPr>
            <w:r>
              <w:rPr>
                <w:rFonts w:ascii="Calibri" w:cs="Calibri" w:eastAsia="Calibri" w:hAnsi="Calibri"/>
                <w:sz w:val="19"/>
                <w:szCs w:val="19"/>
              </w:rPr>
              <w:t xml:space="preserve">Rank oracle &gt; retrieval &gt; closed-book</w:t>
            </w:r>
          </w:p>
        </w:tc>
        <w:tc>
          <w:tcPr>
            <w:tcW w:type="dxa" w:w="2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43.5%</w:t>
            </w:r>
          </w:p>
        </w:tc>
      </w:tr>
      <w:tr>
        <w:tc>
          <w:tcPr>
            <w:tcW w:type="dxa" w:w="6460"/>
            <w:tcMar>
              <w:top w:type="dxa" w:w="50"/>
              <w:left w:type="dxa" w:w="90"/>
              <w:bottom w:type="dxa" w:w="50"/>
              <w:right w:type="dxa" w:w="90"/>
            </w:tcMar>
          </w:tcPr>
          <w:p>
            <w:pPr>
              <w:spacing w:after="0" w:line="250"/>
              <w:jc w:val="left"/>
            </w:pPr>
            <w:r>
              <w:rPr>
                <w:rFonts w:ascii="Calibri" w:cs="Calibri" w:eastAsia="Calibri" w:hAnsi="Calibri"/>
                <w:b/>
                <w:bCs/>
                <w:sz w:val="19"/>
                <w:szCs w:val="19"/>
              </w:rPr>
              <w:t xml:space="preserve">Satisfy both tests</w:t>
            </w:r>
          </w:p>
        </w:tc>
        <w:tc>
          <w:tcPr>
            <w:tcW w:type="dxa" w:w="2900"/>
            <w:tcMar>
              <w:top w:type="dxa" w:w="50"/>
              <w:left w:type="dxa" w:w="90"/>
              <w:bottom w:type="dxa" w:w="50"/>
              <w:right w:type="dxa" w:w="90"/>
            </w:tcMar>
          </w:tcPr>
          <w:p>
            <w:pPr>
              <w:spacing w:after="0" w:line="250"/>
              <w:jc w:val="center"/>
            </w:pPr>
            <w:r>
              <w:rPr>
                <w:rFonts w:ascii="Calibri" w:cs="Calibri" w:eastAsia="Calibri" w:hAnsi="Calibri"/>
                <w:b/>
                <w:bCs/>
                <w:sz w:val="19"/>
                <w:szCs w:val="19"/>
              </w:rPr>
              <w:t xml:space="preserve">0.0%</w:t>
            </w:r>
          </w:p>
        </w:tc>
      </w:tr>
    </w:tbl>
    <w:p>
      <w:pPr>
        <w:spacing w:after="60"/>
      </w:pPr>
    </w:p>
    <w:p>
      <w:pPr>
        <w:spacing w:after="120" w:line="276"/>
        <w:jc w:val="both"/>
      </w:pPr>
      <w:r>
        <w:rPr>
          <w:rFonts w:ascii="Calibri" w:cs="Calibri" w:eastAsia="Calibri" w:hAnsi="Calibri"/>
          <w:sz w:val="22"/>
          <w:szCs w:val="22"/>
        </w:rPr>
        <w:t xml:space="preserve">Re-weighting can repair the noise test on its own. Placing no weight on accuracy and most on NESS and hallucination reaches a correlation of −0.90, consistent with the hallucination component carrying the noise signal (Section 4.4, r = +0.76). The two tests, however, require disjoint regions of the weight space. Every weighting that tracks noise places at most 0.35 of its total weight on accuracy and calibration combined, whereas every weighting that ranks correctly places at least 0.50 there. The cause lies in the components. The oracle condition scores lower than retrieval on exactly the two components that respond to noise: NESS 0.628 against 0.715, for the evidence-size reason given in Section 4.5, and hallucination 0.200 against 0.080. Its advantage is therefore visible only through accuracy and calibration, which do not respond to noise at this sample size. Among weightings that rank correctly, the strongest achievable noise correlation is −0.16. The result is unchanged on a finer 0.01 grid of 176,851 weightings and with the threshold relaxed to −0.3.</w:t>
      </w:r>
    </w:p>
    <w:p>
      <w:pPr>
        <w:spacing w:after="120" w:line="276"/>
        <w:jc w:val="both"/>
      </w:pPr>
      <w:r>
        <w:rPr>
          <w:rFonts w:ascii="Calibri" w:cs="Calibri" w:eastAsia="Calibri" w:hAnsi="Calibri"/>
          <w:sz w:val="22"/>
          <w:szCs w:val="22"/>
        </w:rPr>
        <w:t xml:space="preserve">Re-weighting is therefore necessary but not sufficient. No linear combination of the current four components is a valid composite on this data, so the components themselves must change first. Because the sweep selects and evaluates on the same five noise levels and three conditions of fifty items, this should be confirmed on a larger held-out run before being treated as settled.</w:t>
      </w:r>
    </w:p>
    <w:p>
      <w:pPr>
        <w:pStyle w:val="Heading2"/>
        <w:spacing w:after="100" w:before="240"/>
      </w:pPr>
      <w:r>
        <w:rPr>
          <w:rFonts w:ascii="Calibri" w:cs="Calibri" w:eastAsia="Calibri" w:hAnsi="Calibri"/>
          <w:b/>
          <w:bCs/>
          <w:color w:val="2E5496"/>
          <w:sz w:val="26"/>
          <w:szCs w:val="26"/>
        </w:rPr>
        <w:t xml:space="preserve">4.7 Scoring defect: the confidence value counted as unsupported evidence</w:t>
      </w:r>
    </w:p>
    <w:p>
      <w:pPr>
        <w:spacing w:after="120" w:line="276"/>
        <w:jc w:val="both"/>
      </w:pPr>
      <w:r>
        <w:rPr>
          <w:rFonts w:ascii="Calibri" w:cs="Calibri" w:eastAsia="Calibri" w:hAnsi="Calibri"/>
          <w:sz w:val="22"/>
          <w:szCs w:val="22"/>
        </w:rPr>
        <w:t xml:space="preserve">The evidence-support score (NESS) extracted every number from the whole response, including the “Confidence: 0.9” line the prompt asks the model to write. That value is a report about the answer, not a claim about the document, so the retrieved evidence could never support it. Every response was therefore scored as carrying one extra unsupported number, which lowered its NESS and could push a response close to the 0.5 hallucination threshold under it. The saved rows show it directly: the first row of Experiment 1 lists the unsupported numbers as [0.9]. The scorer now removes the confidence statement before counting numbers, with regression tests, and passing the old setting reproduces the recorded runs. The result files were not regenerated.</w:t>
      </w:r>
    </w:p>
    <w:p>
      <w:pPr>
        <w:spacing w:after="120" w:line="276"/>
        <w:jc w:val="both"/>
      </w:pPr>
      <w:r>
        <w:rPr>
          <w:rFonts w:ascii="Calibri" w:cs="Calibri" w:eastAsia="Calibri" w:hAnsi="Calibri"/>
          <w:sz w:val="22"/>
          <w:szCs w:val="22"/>
        </w:rPr>
        <w:t xml:space="preserve">The effect was measured from the saved files with no new generations. Experiments 1 and 2 keep each response and its evidence, so every row was re-scored, and the old behaviour first had to reproduce each stored score exactly. All four strict-mode hallucination flags in Experiment 1 and all four in Experiment 2 were produced by the defect. Experiment 5 keeps the responses but not the evidence, so its corrected scores are recovered from each row’s stored score and the number of numbers in its response. Experiment 4 keeps neither, so it is bracketed: its 0% level is Experiment 5’s retrieval condition, so those rows are exact, the other rows are resolved against the same item’s baseline response where the score is unchanged, and the rest are bracketed. The bracketing method was checked against all 150 Experiment 5 rows, where the exact answer is 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Quantity</w:t>
            </w:r>
          </w:p>
        </w:tc>
        <w:tc>
          <w:tcPr>
            <w:tcW w:type="dxa" w:w="24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As recorded</w:t>
            </w:r>
          </w:p>
        </w:tc>
        <w:tc>
          <w:tcPr>
            <w:tcW w:type="dxa" w:w="24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Corrected</w:t>
            </w:r>
          </w:p>
        </w:tc>
      </w:tr>
      <w:tr>
        <w:tc>
          <w:tcPr>
            <w:tcW w:type="dxa" w:w="4560"/>
            <w:tcMar>
              <w:top w:type="dxa" w:w="50"/>
              <w:left w:type="dxa" w:w="90"/>
              <w:bottom w:type="dxa" w:w="50"/>
              <w:right w:type="dxa" w:w="90"/>
            </w:tcMar>
          </w:tcPr>
          <w:p>
            <w:pPr>
              <w:spacing w:after="0" w:line="250"/>
              <w:jc w:val="left"/>
            </w:pPr>
            <w:r>
              <w:rPr>
                <w:rFonts w:ascii="Calibri" w:cs="Calibri" w:eastAsia="Calibri" w:hAnsi="Calibri"/>
                <w:sz w:val="19"/>
                <w:szCs w:val="19"/>
              </w:rPr>
              <w:t xml:space="preserve">Exp 1 hallucination rate (strict NESS)</w:t>
            </w:r>
          </w:p>
        </w:tc>
        <w:tc>
          <w:tcPr>
            <w:tcW w:type="dxa" w:w="2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0.08</w:t>
            </w:r>
          </w:p>
        </w:tc>
        <w:tc>
          <w:tcPr>
            <w:tcW w:type="dxa" w:w="2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0.00</w:t>
            </w:r>
          </w:p>
        </w:tc>
      </w:tr>
      <w:tr>
        <w:tc>
          <w:tcPr>
            <w:tcW w:type="dxa" w:w="4560"/>
            <w:tcMar>
              <w:top w:type="dxa" w:w="50"/>
              <w:left w:type="dxa" w:w="90"/>
              <w:bottom w:type="dxa" w:w="50"/>
              <w:right w:type="dxa" w:w="90"/>
            </w:tcMar>
          </w:tcPr>
          <w:p>
            <w:pPr>
              <w:spacing w:after="0" w:line="250"/>
              <w:jc w:val="left"/>
            </w:pPr>
            <w:r>
              <w:rPr>
                <w:rFonts w:ascii="Calibri" w:cs="Calibri" w:eastAsia="Calibri" w:hAnsi="Calibri"/>
                <w:sz w:val="19"/>
                <w:szCs w:val="19"/>
              </w:rPr>
              <w:t xml:space="preserve">Exp 2 hallucination, clean to evidence injection</w:t>
            </w:r>
          </w:p>
        </w:tc>
        <w:tc>
          <w:tcPr>
            <w:tcW w:type="dxa" w:w="2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0.10 to 0.20</w:t>
            </w:r>
          </w:p>
        </w:tc>
        <w:tc>
          <w:tcPr>
            <w:tcW w:type="dxa" w:w="2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0.00 to 0.00</w:t>
            </w:r>
          </w:p>
        </w:tc>
      </w:tr>
      <w:tr>
        <w:tc>
          <w:tcPr>
            <w:tcW w:type="dxa" w:w="4560"/>
            <w:tcMar>
              <w:top w:type="dxa" w:w="50"/>
              <w:left w:type="dxa" w:w="90"/>
              <w:bottom w:type="dxa" w:w="50"/>
              <w:right w:type="dxa" w:w="90"/>
            </w:tcMar>
          </w:tcPr>
          <w:p>
            <w:pPr>
              <w:spacing w:after="0" w:line="250"/>
              <w:jc w:val="left"/>
            </w:pPr>
            <w:r>
              <w:rPr>
                <w:rFonts w:ascii="Calibri" w:cs="Calibri" w:eastAsia="Calibri" w:hAnsi="Calibri"/>
                <w:sz w:val="19"/>
                <w:szCs w:val="19"/>
              </w:rPr>
              <w:t xml:space="preserve">Exp 5 ONRS, retrieval vs oracle</w:t>
            </w:r>
          </w:p>
        </w:tc>
        <w:tc>
          <w:tcPr>
            <w:tcW w:type="dxa" w:w="2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0.5891 vs 0.5811</w:t>
            </w:r>
          </w:p>
        </w:tc>
        <w:tc>
          <w:tcPr>
            <w:tcW w:type="dxa" w:w="2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0.6224 vs 0.6211</w:t>
            </w:r>
          </w:p>
        </w:tc>
      </w:tr>
      <w:tr>
        <w:tc>
          <w:tcPr>
            <w:tcW w:type="dxa" w:w="4560"/>
            <w:tcMar>
              <w:top w:type="dxa" w:w="50"/>
              <w:left w:type="dxa" w:w="90"/>
              <w:bottom w:type="dxa" w:w="50"/>
              <w:right w:type="dxa" w:w="90"/>
            </w:tcMar>
          </w:tcPr>
          <w:p>
            <w:pPr>
              <w:spacing w:after="0" w:line="250"/>
              <w:jc w:val="left"/>
            </w:pPr>
            <w:r>
              <w:rPr>
                <w:rFonts w:ascii="Calibri" w:cs="Calibri" w:eastAsia="Calibri" w:hAnsi="Calibri"/>
                <w:sz w:val="19"/>
                <w:szCs w:val="19"/>
              </w:rPr>
              <w:t xml:space="preserve">Exp 4 noise vs hallucination, r</w:t>
            </w:r>
          </w:p>
        </w:tc>
        <w:tc>
          <w:tcPr>
            <w:tcW w:type="dxa" w:w="2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+0.76</w:t>
            </w:r>
          </w:p>
        </w:tc>
        <w:tc>
          <w:tcPr>
            <w:tcW w:type="dxa" w:w="2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+0.00 to +0.89</w:t>
            </w:r>
          </w:p>
        </w:tc>
      </w:tr>
      <w:tr>
        <w:tc>
          <w:tcPr>
            <w:tcW w:type="dxa" w:w="4560"/>
            <w:tcMar>
              <w:top w:type="dxa" w:w="50"/>
              <w:left w:type="dxa" w:w="90"/>
              <w:bottom w:type="dxa" w:w="50"/>
              <w:right w:type="dxa" w:w="90"/>
            </w:tcMar>
          </w:tcPr>
          <w:p>
            <w:pPr>
              <w:spacing w:after="0" w:line="250"/>
              <w:jc w:val="left"/>
            </w:pPr>
            <w:r>
              <w:rPr>
                <w:rFonts w:ascii="Calibri" w:cs="Calibri" w:eastAsia="Calibri" w:hAnsi="Calibri"/>
                <w:sz w:val="19"/>
                <w:szCs w:val="19"/>
              </w:rPr>
              <w:t xml:space="preserve">Exp 4 noise vs ONRS (default weights), r</w:t>
            </w:r>
          </w:p>
        </w:tc>
        <w:tc>
          <w:tcPr>
            <w:tcW w:type="dxa" w:w="2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−0.10</w:t>
            </w:r>
          </w:p>
        </w:tc>
        <w:tc>
          <w:tcPr>
            <w:tcW w:type="dxa" w:w="2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+0.18 to −0.36</w:t>
            </w:r>
          </w:p>
        </w:tc>
      </w:tr>
      <w:tr>
        <w:tc>
          <w:tcPr>
            <w:tcW w:type="dxa" w:w="4560"/>
            <w:tcMar>
              <w:top w:type="dxa" w:w="50"/>
              <w:left w:type="dxa" w:w="90"/>
              <w:bottom w:type="dxa" w:w="50"/>
              <w:right w:type="dxa" w:w="90"/>
            </w:tcMar>
          </w:tcPr>
          <w:p>
            <w:pPr>
              <w:spacing w:after="0" w:line="250"/>
              <w:jc w:val="left"/>
            </w:pPr>
            <w:r>
              <w:rPr>
                <w:rFonts w:ascii="Calibri" w:cs="Calibri" w:eastAsia="Calibri" w:hAnsi="Calibri"/>
                <w:sz w:val="19"/>
                <w:szCs w:val="19"/>
              </w:rPr>
              <w:t xml:space="preserve">Weightings passing both tests</w:t>
            </w:r>
          </w:p>
        </w:tc>
        <w:tc>
          <w:tcPr>
            <w:tcW w:type="dxa" w:w="2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w:t>
            </w:r>
          </w:p>
        </w:tc>
        <w:tc>
          <w:tcPr>
            <w:tcW w:type="dxa" w:w="2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 in every scenario</w:t>
            </w:r>
          </w:p>
        </w:tc>
      </w:tr>
    </w:tbl>
    <w:p>
      <w:pPr>
        <w:spacing w:after="60"/>
      </w:pPr>
    </w:p>
    <w:p>
      <w:pPr>
        <w:spacing w:after="120" w:line="276"/>
        <w:jc w:val="both"/>
      </w:pPr>
      <w:r>
        <w:rPr>
          <w:rFonts w:ascii="Calibri" w:cs="Calibri" w:eastAsia="Calibri" w:hAnsi="Calibri"/>
          <w:sz w:val="22"/>
          <w:szCs w:val="22"/>
        </w:rPr>
        <w:t xml:space="preserve">Two conclusions survive. The ranking inversion remains at the default weights, now as a near tie (gap 0.0013, down from 0.0080), and no weighting passes both tests in any of the corrected scenarios. Two do not. The doubling of the hallucination rate under evidence injection in Experiment 2 was this defect, and the Experiment 4 noise correlations cannot be fixed without regenerating that run. Accuracy, calibration, the verifier outcomes and Experiment 3 do not use evidence support and are unaffected. Experiments 1, 2, 4 and 5 should be re-run on the GPU with the corrected scorer.</w:t>
      </w:r>
    </w:p>
    <w:p>
      <w:r>
        <w:br w:type="page"/>
      </w:r>
    </w:p>
    <w:p>
      <w:pPr>
        <w:pStyle w:val="Heading1"/>
        <w:spacing w:after="140" w:before="320"/>
      </w:pPr>
      <w:r>
        <w:rPr>
          <w:rFonts w:ascii="Calibri" w:cs="Calibri" w:eastAsia="Calibri" w:hAnsi="Calibri"/>
          <w:b/>
          <w:bCs/>
          <w:color w:val="1F3864"/>
          <w:sz w:val="32"/>
          <w:szCs w:val="32"/>
        </w:rPr>
        <w:t xml:space="preserve">5. Interpretation and Justification of the Results</w:t>
      </w:r>
    </w:p>
    <w:p>
      <w:pPr>
        <w:pStyle w:val="Heading2"/>
        <w:spacing w:after="100" w:before="240"/>
      </w:pPr>
      <w:r>
        <w:rPr>
          <w:rFonts w:ascii="Calibri" w:cs="Calibri" w:eastAsia="Calibri" w:hAnsi="Calibri"/>
          <w:b/>
          <w:bCs/>
          <w:color w:val="2E5496"/>
          <w:sz w:val="26"/>
          <w:szCs w:val="26"/>
        </w:rPr>
        <w:t xml:space="preserve">5.1 Accuracy in relation to published FinQA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System</w:t>
            </w:r>
          </w:p>
        </w:tc>
        <w:tc>
          <w:tcPr>
            <w:tcW w:type="dxa" w:w="22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Execution accuracy</w:t>
            </w:r>
          </w:p>
        </w:tc>
        <w:tc>
          <w:tcPr>
            <w:tcW w:type="dxa" w:w="31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Setting</w:t>
            </w:r>
          </w:p>
        </w:tc>
      </w:tr>
      <w:tr>
        <w:tc>
          <w:tcPr>
            <w:tcW w:type="dxa" w:w="4000"/>
            <w:tcMar>
              <w:top w:type="dxa" w:w="50"/>
              <w:left w:type="dxa" w:w="90"/>
              <w:bottom w:type="dxa" w:w="50"/>
              <w:right w:type="dxa" w:w="90"/>
            </w:tcMar>
          </w:tcPr>
          <w:p>
            <w:pPr>
              <w:spacing w:after="0" w:line="250"/>
              <w:jc w:val="left"/>
            </w:pPr>
            <w:r>
              <w:rPr>
                <w:rFonts w:ascii="Calibri" w:cs="Calibri" w:eastAsia="Calibri" w:hAnsi="Calibri"/>
                <w:sz w:val="19"/>
                <w:szCs w:val="19"/>
              </w:rPr>
              <w:t xml:space="preserve">Human expert</w:t>
            </w:r>
          </w:p>
        </w:tc>
        <w:tc>
          <w:tcPr>
            <w:tcW w:type="dxa" w:w="2200"/>
            <w:tcMar>
              <w:top w:type="dxa" w:w="50"/>
              <w:left w:type="dxa" w:w="90"/>
              <w:bottom w:type="dxa" w:w="50"/>
              <w:right w:type="dxa" w:w="90"/>
            </w:tcMar>
          </w:tcPr>
          <w:p>
            <w:pPr>
              <w:spacing w:after="0" w:line="250"/>
              <w:jc w:val="center"/>
            </w:pPr>
            <w:r>
              <w:rPr>
                <w:rFonts w:ascii="Calibri" w:cs="Calibri" w:eastAsia="Calibri" w:hAnsi="Calibri"/>
                <w:sz w:val="19"/>
                <w:szCs w:val="19"/>
              </w:rPr>
              <w:t xml:space="preserve">91.16%</w:t>
            </w:r>
          </w:p>
        </w:tc>
        <w:tc>
          <w:tcPr>
            <w:tcW w:type="dxa" w:w="3160"/>
            <w:tcMar>
              <w:top w:type="dxa" w:w="50"/>
              <w:left w:type="dxa" w:w="90"/>
              <w:bottom w:type="dxa" w:w="50"/>
              <w:right w:type="dxa" w:w="90"/>
            </w:tcMar>
          </w:tcPr>
          <w:p>
            <w:pPr>
              <w:spacing w:after="0" w:line="250"/>
              <w:jc w:val="center"/>
            </w:pPr>
            <w:r>
              <w:rPr>
                <w:rFonts w:ascii="Calibri" w:cs="Calibri" w:eastAsia="Calibri" w:hAnsi="Calibri"/>
                <w:sz w:val="19"/>
                <w:szCs w:val="19"/>
              </w:rPr>
              <w:t xml:space="preserve">FinQA original paper</w:t>
            </w:r>
          </w:p>
        </w:tc>
      </w:tr>
      <w:tr>
        <w:tc>
          <w:tcPr>
            <w:tcW w:type="dxa" w:w="40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FinQANet (RoBERTa-large), gold retrieval</w:t>
            </w:r>
          </w:p>
        </w:tc>
        <w:tc>
          <w:tcPr>
            <w:tcW w:type="dxa" w:w="22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70.0%</w:t>
            </w:r>
          </w:p>
        </w:tc>
        <w:tc>
          <w:tcPr>
            <w:tcW w:type="dxa" w:w="31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Fine-tuned, test split</w:t>
            </w:r>
          </w:p>
        </w:tc>
      </w:tr>
      <w:tr>
        <w:tc>
          <w:tcPr>
            <w:tcW w:type="dxa" w:w="4000"/>
            <w:tcMar>
              <w:top w:type="dxa" w:w="50"/>
              <w:left w:type="dxa" w:w="90"/>
              <w:bottom w:type="dxa" w:w="50"/>
              <w:right w:type="dxa" w:w="90"/>
            </w:tcMar>
          </w:tcPr>
          <w:p>
            <w:pPr>
              <w:spacing w:after="0" w:line="250"/>
              <w:jc w:val="left"/>
            </w:pPr>
            <w:r>
              <w:rPr>
                <w:rFonts w:ascii="Calibri" w:cs="Calibri" w:eastAsia="Calibri" w:hAnsi="Calibri"/>
                <w:sz w:val="19"/>
                <w:szCs w:val="19"/>
              </w:rPr>
              <w:t xml:space="preserve">FinQANet (RoBERTa-large)</w:t>
            </w:r>
          </w:p>
        </w:tc>
        <w:tc>
          <w:tcPr>
            <w:tcW w:type="dxa" w:w="2200"/>
            <w:tcMar>
              <w:top w:type="dxa" w:w="50"/>
              <w:left w:type="dxa" w:w="90"/>
              <w:bottom w:type="dxa" w:w="50"/>
              <w:right w:type="dxa" w:w="90"/>
            </w:tcMar>
          </w:tcPr>
          <w:p>
            <w:pPr>
              <w:spacing w:after="0" w:line="250"/>
              <w:jc w:val="center"/>
            </w:pPr>
            <w:r>
              <w:rPr>
                <w:rFonts w:ascii="Calibri" w:cs="Calibri" w:eastAsia="Calibri" w:hAnsi="Calibri"/>
                <w:sz w:val="19"/>
                <w:szCs w:val="19"/>
              </w:rPr>
              <w:t xml:space="preserve">61.24%</w:t>
            </w:r>
          </w:p>
        </w:tc>
        <w:tc>
          <w:tcPr>
            <w:tcW w:type="dxa" w:w="3160"/>
            <w:tcMar>
              <w:top w:type="dxa" w:w="50"/>
              <w:left w:type="dxa" w:w="90"/>
              <w:bottom w:type="dxa" w:w="50"/>
              <w:right w:type="dxa" w:w="90"/>
            </w:tcMar>
          </w:tcPr>
          <w:p>
            <w:pPr>
              <w:spacing w:after="0" w:line="250"/>
              <w:jc w:val="center"/>
            </w:pPr>
            <w:r>
              <w:rPr>
                <w:rFonts w:ascii="Calibri" w:cs="Calibri" w:eastAsia="Calibri" w:hAnsi="Calibri"/>
                <w:sz w:val="19"/>
                <w:szCs w:val="19"/>
              </w:rPr>
              <w:t xml:space="preserve">Fine-tuned, test split</w:t>
            </w:r>
          </w:p>
        </w:tc>
      </w:tr>
      <w:tr>
        <w:tc>
          <w:tcPr>
            <w:tcW w:type="dxa" w:w="40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FinQANet (RoBERTa-base)</w:t>
            </w:r>
          </w:p>
        </w:tc>
        <w:tc>
          <w:tcPr>
            <w:tcW w:type="dxa" w:w="22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56.1%</w:t>
            </w:r>
          </w:p>
        </w:tc>
        <w:tc>
          <w:tcPr>
            <w:tcW w:type="dxa" w:w="31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Fine-tuned, test split</w:t>
            </w:r>
          </w:p>
        </w:tc>
      </w:tr>
      <w:tr>
        <w:tc>
          <w:tcPr>
            <w:tcW w:type="dxa" w:w="4000"/>
            <w:tcMar>
              <w:top w:type="dxa" w:w="50"/>
              <w:left w:type="dxa" w:w="90"/>
              <w:bottom w:type="dxa" w:w="50"/>
              <w:right w:type="dxa" w:w="90"/>
            </w:tcMar>
          </w:tcPr>
          <w:p>
            <w:pPr>
              <w:spacing w:after="0" w:line="250"/>
              <w:jc w:val="left"/>
            </w:pPr>
            <w:r>
              <w:rPr>
                <w:rFonts w:ascii="Calibri" w:cs="Calibri" w:eastAsia="Calibri" w:hAnsi="Calibri"/>
                <w:sz w:val="19"/>
                <w:szCs w:val="19"/>
              </w:rPr>
              <w:t xml:space="preserve">General crowd workers</w:t>
            </w:r>
          </w:p>
        </w:tc>
        <w:tc>
          <w:tcPr>
            <w:tcW w:type="dxa" w:w="2200"/>
            <w:tcMar>
              <w:top w:type="dxa" w:w="50"/>
              <w:left w:type="dxa" w:w="90"/>
              <w:bottom w:type="dxa" w:w="50"/>
              <w:right w:type="dxa" w:w="90"/>
            </w:tcMar>
          </w:tcPr>
          <w:p>
            <w:pPr>
              <w:spacing w:after="0" w:line="250"/>
              <w:jc w:val="center"/>
            </w:pPr>
            <w:r>
              <w:rPr>
                <w:rFonts w:ascii="Calibri" w:cs="Calibri" w:eastAsia="Calibri" w:hAnsi="Calibri"/>
                <w:sz w:val="19"/>
                <w:szCs w:val="19"/>
              </w:rPr>
              <w:t xml:space="preserve">50.68%</w:t>
            </w:r>
          </w:p>
        </w:tc>
        <w:tc>
          <w:tcPr>
            <w:tcW w:type="dxa" w:w="3160"/>
            <w:tcMar>
              <w:top w:type="dxa" w:w="50"/>
              <w:left w:type="dxa" w:w="90"/>
              <w:bottom w:type="dxa" w:w="50"/>
              <w:right w:type="dxa" w:w="90"/>
            </w:tcMar>
          </w:tcPr>
          <w:p>
            <w:pPr>
              <w:spacing w:after="0" w:line="250"/>
              <w:jc w:val="center"/>
            </w:pPr>
            <w:r>
              <w:rPr>
                <w:rFonts w:ascii="Calibri" w:cs="Calibri" w:eastAsia="Calibri" w:hAnsi="Calibri"/>
                <w:sz w:val="19"/>
                <w:szCs w:val="19"/>
              </w:rPr>
              <w:t xml:space="preserve">FinQA original paper</w:t>
            </w:r>
          </w:p>
        </w:tc>
      </w:tr>
      <w:tr>
        <w:tc>
          <w:tcPr>
            <w:tcW w:type="dxa" w:w="40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This system, oracle evidence</w:t>
            </w:r>
          </w:p>
        </w:tc>
        <w:tc>
          <w:tcPr>
            <w:tcW w:type="dxa" w:w="22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42.0%</w:t>
            </w:r>
          </w:p>
        </w:tc>
        <w:tc>
          <w:tcPr>
            <w:tcW w:type="dxa" w:w="31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Few-shot, dev split, own scorer</w:t>
            </w:r>
          </w:p>
        </w:tc>
      </w:tr>
      <w:tr>
        <w:tc>
          <w:tcPr>
            <w:tcW w:type="dxa" w:w="4000"/>
            <w:tcMar>
              <w:top w:type="dxa" w:w="50"/>
              <w:left w:type="dxa" w:w="90"/>
              <w:bottom w:type="dxa" w:w="50"/>
              <w:right w:type="dxa" w:w="90"/>
            </w:tcMar>
          </w:tcPr>
          <w:p>
            <w:pPr>
              <w:spacing w:after="0" w:line="250"/>
              <w:jc w:val="left"/>
            </w:pPr>
            <w:r>
              <w:rPr>
                <w:rFonts w:ascii="Calibri" w:cs="Calibri" w:eastAsia="Calibri" w:hAnsi="Calibri"/>
                <w:sz w:val="19"/>
                <w:szCs w:val="19"/>
              </w:rPr>
              <w:t xml:space="preserve">This system, retrieval</w:t>
            </w:r>
          </w:p>
        </w:tc>
        <w:tc>
          <w:tcPr>
            <w:tcW w:type="dxa" w:w="2200"/>
            <w:tcMar>
              <w:top w:type="dxa" w:w="50"/>
              <w:left w:type="dxa" w:w="90"/>
              <w:bottom w:type="dxa" w:w="50"/>
              <w:right w:type="dxa" w:w="90"/>
            </w:tcMar>
          </w:tcPr>
          <w:p>
            <w:pPr>
              <w:spacing w:after="0" w:line="250"/>
              <w:jc w:val="center"/>
            </w:pPr>
            <w:r>
              <w:rPr>
                <w:rFonts w:ascii="Calibri" w:cs="Calibri" w:eastAsia="Calibri" w:hAnsi="Calibri"/>
                <w:sz w:val="19"/>
                <w:szCs w:val="19"/>
              </w:rPr>
              <w:t xml:space="preserve">34.0%</w:t>
            </w:r>
          </w:p>
        </w:tc>
        <w:tc>
          <w:tcPr>
            <w:tcW w:type="dxa" w:w="3160"/>
            <w:tcMar>
              <w:top w:type="dxa" w:w="50"/>
              <w:left w:type="dxa" w:w="90"/>
              <w:bottom w:type="dxa" w:w="50"/>
              <w:right w:type="dxa" w:w="90"/>
            </w:tcMar>
          </w:tcPr>
          <w:p>
            <w:pPr>
              <w:spacing w:after="0" w:line="250"/>
              <w:jc w:val="center"/>
            </w:pPr>
            <w:r>
              <w:rPr>
                <w:rFonts w:ascii="Calibri" w:cs="Calibri" w:eastAsia="Calibri" w:hAnsi="Calibri"/>
                <w:sz w:val="19"/>
                <w:szCs w:val="19"/>
              </w:rPr>
              <w:t xml:space="preserve">Few-shot, dev split, own scorer</w:t>
            </w:r>
          </w:p>
        </w:tc>
      </w:tr>
    </w:tbl>
    <w:p>
      <w:pPr>
        <w:pStyle w:val="ListParagraph"/>
        <w:numPr>
          <w:ilvl w:val="0"/>
          <w:numId w:val="2"/>
        </w:numPr>
        <w:spacing w:after="60" w:line="276"/>
      </w:pPr>
      <w:r>
        <w:rPr>
          <w:rFonts w:ascii="Calibri" w:cs="Calibri" w:eastAsia="Calibri" w:hAnsi="Calibri"/>
          <w:sz w:val="22"/>
          <w:szCs w:val="22"/>
        </w:rPr>
        <w:t xml:space="preserve">The benchmark is unsaturated. Human experts reach 91.16% and the strongest published model 61.24%. No system approaches ceiling, and a figure near 100% would warrant scrutiny of the evaluation rather than confidence in the system.</w:t>
      </w:r>
    </w:p>
    <w:p>
      <w:pPr>
        <w:pStyle w:val="ListParagraph"/>
        <w:numPr>
          <w:ilvl w:val="0"/>
          <w:numId w:val="2"/>
        </w:numPr>
        <w:spacing w:after="60" w:line="276"/>
      </w:pPr>
      <w:r>
        <w:rPr>
          <w:rFonts w:ascii="Calibri" w:cs="Calibri" w:eastAsia="Calibri" w:hAnsi="Calibri"/>
          <w:sz w:val="22"/>
          <w:szCs w:val="22"/>
        </w:rPr>
        <w:t xml:space="preserve">The comparison systems are not comparable in kind. They are fine-tuned on the FinQA training split with a task-specific program-generation architecture and evaluated on the test split. This system is general-purpose, used few-shot, 4-bit quantised at 3B parameters on a 4 GB consumer GPU. The gap is attributable to fine-tuning, scale and quantisation in that order.</w:t>
      </w:r>
    </w:p>
    <w:p>
      <w:pPr>
        <w:pStyle w:val="ListParagraph"/>
        <w:numPr>
          <w:ilvl w:val="0"/>
          <w:numId w:val="2"/>
        </w:numPr>
        <w:spacing w:after="60" w:line="276"/>
      </w:pPr>
      <w:r>
        <w:rPr>
          <w:rFonts w:ascii="Calibri" w:cs="Calibri" w:eastAsia="Calibri" w:hAnsi="Calibri"/>
          <w:sz w:val="22"/>
          <w:szCs w:val="22"/>
        </w:rPr>
        <w:t xml:space="preserve">The gap is decomposed rather than asserted. Section 4.1 breaks it into named categories with confirmed items, and Experiment 5 localises it to reasoning rather than retrieval.</w:t>
      </w:r>
    </w:p>
    <w:p>
      <w:pPr>
        <w:pStyle w:val="ListParagraph"/>
        <w:numPr>
          <w:ilvl w:val="0"/>
          <w:numId w:val="2"/>
        </w:numPr>
        <w:spacing w:after="60" w:line="276"/>
      </w:pPr>
      <w:r>
        <w:rPr>
          <w:rFonts w:ascii="Calibri" w:cs="Calibri" w:eastAsia="Calibri" w:hAnsi="Calibri"/>
          <w:sz w:val="22"/>
          <w:szCs w:val="22"/>
        </w:rPr>
        <w:t xml:space="preserve">The oracle result adds a further localisation: at 42.0% with perfect evidence, this system remains well below the 70.0% gold-retrieval figure of a fine-tuned model, which places the deficit in the generator rather than in evidence quality.</w:t>
      </w:r>
    </w:p>
    <w:p>
      <w:pPr>
        <w:pStyle w:val="ListParagraph"/>
        <w:numPr>
          <w:ilvl w:val="0"/>
          <w:numId w:val="2"/>
        </w:numPr>
        <w:spacing w:after="60" w:line="276"/>
      </w:pPr>
      <w:r>
        <w:rPr>
          <w:rFonts w:ascii="Calibri" w:cs="Calibri" w:eastAsia="Calibri" w:hAnsi="Calibri"/>
          <w:sz w:val="22"/>
          <w:szCs w:val="22"/>
        </w:rPr>
        <w:t xml:space="preserve">The figures survived an audit. Two real scoring defects were found and corrected, changing which answers counted as correct. The reported figure is post-audit.</w:t>
      </w:r>
    </w:p>
    <w:p>
      <w:pPr>
        <w:pStyle w:val="Heading2"/>
        <w:spacing w:after="100" w:before="240"/>
      </w:pPr>
      <w:r>
        <w:rPr>
          <w:rFonts w:ascii="Calibri" w:cs="Calibri" w:eastAsia="Calibri" w:hAnsi="Calibri"/>
          <w:b/>
          <w:bCs/>
          <w:color w:val="2E5496"/>
          <w:sz w:val="26"/>
          <w:szCs w:val="26"/>
        </w:rPr>
        <w:t xml:space="preserve">5.2 Why each non-accuracy metric takes the value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6260"/>
      </w:tblGrid>
      <w:tr>
        <w:trPr>
          <w:tblHeader/>
        </w:trPr>
        <w:tc>
          <w:tcPr>
            <w:tcW w:type="dxa" w:w="19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Metric</w:t>
            </w:r>
          </w:p>
        </w:tc>
        <w:tc>
          <w:tcPr>
            <w:tcW w:type="dxa" w:w="12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Value</w:t>
            </w:r>
          </w:p>
        </w:tc>
        <w:tc>
          <w:tcPr>
            <w:tcW w:type="dxa" w:w="62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Justification</w:t>
            </w:r>
          </w:p>
        </w:tc>
      </w:tr>
      <w:tr>
        <w:tc>
          <w:tcPr>
            <w:tcW w:type="dxa" w:w="1900"/>
            <w:tcMar>
              <w:top w:type="dxa" w:w="50"/>
              <w:left w:type="dxa" w:w="90"/>
              <w:bottom w:type="dxa" w:w="50"/>
              <w:right w:type="dxa" w:w="90"/>
            </w:tcMar>
          </w:tcPr>
          <w:p>
            <w:pPr>
              <w:spacing w:after="0" w:line="250"/>
              <w:jc w:val="left"/>
            </w:pPr>
            <w:r>
              <w:rPr>
                <w:rFonts w:ascii="Calibri" w:cs="Calibri" w:eastAsia="Calibri" w:hAnsi="Calibri"/>
                <w:sz w:val="19"/>
                <w:szCs w:val="19"/>
              </w:rPr>
              <w:t xml:space="preserve">ECE</w:t>
            </w:r>
          </w:p>
        </w:tc>
        <w:tc>
          <w:tcPr>
            <w:tcW w:type="dxa" w:w="12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0.5560</w:t>
            </w:r>
          </w:p>
        </w:tc>
        <w:tc>
          <w:tcPr>
            <w:tcW w:type="dxa" w:w="6260"/>
            <w:tcMar>
              <w:top w:type="dxa" w:w="50"/>
              <w:left w:type="dxa" w:w="90"/>
              <w:bottom w:type="dxa" w:w="50"/>
              <w:right w:type="dxa" w:w="90"/>
            </w:tcMar>
          </w:tcPr>
          <w:p>
            <w:pPr>
              <w:spacing w:after="0" w:line="250"/>
              <w:jc w:val="center"/>
            </w:pPr>
            <w:r>
              <w:rPr>
                <w:rFonts w:ascii="Calibri" w:cs="Calibri" w:eastAsia="Calibri" w:hAnsi="Calibri"/>
                <w:sz w:val="19"/>
                <w:szCs w:val="19"/>
              </w:rPr>
              <w:t xml:space="preserve">Not a defect. This is the primary finding of Experiment 3. A low value would mean no overconfidence existed and the calibration module could not be validated</w:t>
            </w:r>
          </w:p>
        </w:tc>
      </w:tr>
      <w:tr>
        <w:tc>
          <w:tcPr>
            <w:tcW w:type="dxa" w:w="1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NESS strict</w:t>
            </w:r>
          </w:p>
        </w:tc>
        <w:tc>
          <w:tcPr>
            <w:tcW w:type="dxa" w:w="12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0.7145</w:t>
            </w:r>
          </w:p>
        </w:tc>
        <w:tc>
          <w:tcPr>
            <w:tcW w:type="dxa" w:w="62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Structurally cannot reach unity for arithmetic questions. Zero of fifteen correct answers achieved 1.0. The revised definition (0.9085) is reported alongside</w:t>
            </w:r>
          </w:p>
        </w:tc>
      </w:tr>
      <w:tr>
        <w:tc>
          <w:tcPr>
            <w:tcW w:type="dxa" w:w="1900"/>
            <w:tcMar>
              <w:top w:type="dxa" w:w="50"/>
              <w:left w:type="dxa" w:w="90"/>
              <w:bottom w:type="dxa" w:w="50"/>
              <w:right w:type="dxa" w:w="90"/>
            </w:tcMar>
          </w:tcPr>
          <w:p>
            <w:pPr>
              <w:spacing w:after="0" w:line="250"/>
              <w:jc w:val="left"/>
            </w:pPr>
            <w:r>
              <w:rPr>
                <w:rFonts w:ascii="Calibri" w:cs="Calibri" w:eastAsia="Calibri" w:hAnsi="Calibri"/>
                <w:sz w:val="19"/>
                <w:szCs w:val="19"/>
              </w:rPr>
              <w:t xml:space="preserve">Hallucination rate</w:t>
            </w:r>
          </w:p>
        </w:tc>
        <w:tc>
          <w:tcPr>
            <w:tcW w:type="dxa" w:w="12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0.0800</w:t>
            </w:r>
          </w:p>
        </w:tc>
        <w:tc>
          <w:tcPr>
            <w:tcW w:type="dxa" w:w="6260"/>
            <w:tcMar>
              <w:top w:type="dxa" w:w="50"/>
              <w:left w:type="dxa" w:w="90"/>
              <w:bottom w:type="dxa" w:w="50"/>
              <w:right w:type="dxa" w:w="90"/>
            </w:tcMar>
          </w:tcPr>
          <w:p>
            <w:pPr>
              <w:spacing w:after="0" w:line="250"/>
              <w:jc w:val="center"/>
            </w:pPr>
            <w:r>
              <w:rPr>
                <w:rFonts w:ascii="Calibri" w:cs="Calibri" w:eastAsia="Calibri" w:hAnsi="Calibri"/>
                <w:sz w:val="19"/>
                <w:szCs w:val="19"/>
              </w:rPr>
              <w:t xml:space="preserve">A good result for the baseline. It rises appropriately under adversarial conditions and reaches 1.00 with no evidence, which is what validates the module</w:t>
            </w:r>
          </w:p>
        </w:tc>
      </w:tr>
      <w:tr>
        <w:tc>
          <w:tcPr>
            <w:tcW w:type="dxa" w:w="1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ONRS</w:t>
            </w:r>
          </w:p>
        </w:tc>
        <w:tc>
          <w:tcPr>
            <w:tcW w:type="dxa" w:w="12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0.5891</w:t>
            </w:r>
          </w:p>
        </w:tc>
        <w:tc>
          <w:tcPr>
            <w:tcW w:type="dxa" w:w="62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Bounded above by NESS. With the observed value the theoretical maximum is approximately 0.913 even for a perfect system</w:t>
            </w:r>
          </w:p>
        </w:tc>
      </w:tr>
      <w:tr>
        <w:tc>
          <w:tcPr>
            <w:tcW w:type="dxa" w:w="1900"/>
            <w:tcMar>
              <w:top w:type="dxa" w:w="50"/>
              <w:left w:type="dxa" w:w="90"/>
              <w:bottom w:type="dxa" w:w="50"/>
              <w:right w:type="dxa" w:w="90"/>
            </w:tcMar>
          </w:tcPr>
          <w:p>
            <w:pPr>
              <w:spacing w:after="0" w:line="250"/>
              <w:jc w:val="left"/>
            </w:pPr>
            <w:r>
              <w:rPr>
                <w:rFonts w:ascii="Calibri" w:cs="Calibri" w:eastAsia="Calibri" w:hAnsi="Calibri"/>
                <w:sz w:val="19"/>
                <w:szCs w:val="19"/>
              </w:rPr>
              <w:t xml:space="preserve">Verifier pass rate</w:t>
            </w:r>
          </w:p>
        </w:tc>
        <w:tc>
          <w:tcPr>
            <w:tcW w:type="dxa" w:w="12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0.5600</w:t>
            </w:r>
          </w:p>
        </w:tc>
        <w:tc>
          <w:tcPr>
            <w:tcW w:type="dxa" w:w="6260"/>
            <w:tcMar>
              <w:top w:type="dxa" w:w="50"/>
              <w:left w:type="dxa" w:w="90"/>
              <w:bottom w:type="dxa" w:w="50"/>
              <w:right w:type="dxa" w:w="90"/>
            </w:tcMar>
          </w:tcPr>
          <w:p>
            <w:pPr>
              <w:spacing w:after="0" w:line="250"/>
              <w:jc w:val="center"/>
            </w:pPr>
            <w:r>
              <w:rPr>
                <w:rFonts w:ascii="Calibri" w:cs="Calibri" w:eastAsia="Calibri" w:hAnsi="Calibri"/>
                <w:sz w:val="19"/>
                <w:szCs w:val="19"/>
              </w:rPr>
              <w:t xml:space="preserve">A distinct finding. Only 12% of responses showed genuine arithmetic inconsistency; see the decomposition in Section 4.1</w:t>
            </w:r>
          </w:p>
        </w:tc>
      </w:tr>
    </w:tbl>
    <w:p>
      <w:pPr>
        <w:pStyle w:val="Heading2"/>
        <w:spacing w:after="100" w:before="240"/>
      </w:pPr>
      <w:r>
        <w:rPr>
          <w:rFonts w:ascii="Calibri" w:cs="Calibri" w:eastAsia="Calibri" w:hAnsi="Calibri"/>
          <w:b/>
          <w:bCs/>
          <w:color w:val="2E5496"/>
          <w:sz w:val="26"/>
          <w:szCs w:val="26"/>
        </w:rPr>
        <w:t xml:space="preserve">5.3 The composite ceiling under the strict definition</w:t>
      </w:r>
    </w:p>
    <w:p>
      <w:pPr>
        <w:spacing w:after="120" w:line="276"/>
        <w:jc w:val="both"/>
      </w:pPr>
      <w:r>
        <w:rPr>
          <w:rFonts w:ascii="Calibri" w:cs="Calibri" w:eastAsia="Calibri" w:hAnsi="Calibri"/>
          <w:sz w:val="22"/>
          <w:szCs w:val="22"/>
        </w:rPr>
        <w:t xml:space="preserve">Under the strict evidence-support definition, a system with perfect accuracy, zero hallucinations and perfect calibration would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NESS</w:t>
            </w:r>
          </w:p>
        </w:tc>
        <w:tc>
          <w:tcPr>
            <w:tcW w:type="dxa" w:w="468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Maximum attainable ONRS</w:t>
            </w:r>
          </w:p>
        </w:tc>
      </w:tr>
      <w:tr>
        <w:tc>
          <w:tcPr>
            <w:tcW w:type="dxa" w:w="4680"/>
            <w:tcMar>
              <w:top w:type="dxa" w:w="50"/>
              <w:left w:type="dxa" w:w="90"/>
              <w:bottom w:type="dxa" w:w="50"/>
              <w:right w:type="dxa" w:w="90"/>
            </w:tcMar>
          </w:tcPr>
          <w:p>
            <w:pPr>
              <w:spacing w:after="0" w:line="250"/>
              <w:jc w:val="left"/>
            </w:pPr>
            <w:r>
              <w:rPr>
                <w:rFonts w:ascii="Calibri" w:cs="Calibri" w:eastAsia="Calibri" w:hAnsi="Calibri"/>
                <w:sz w:val="19"/>
                <w:szCs w:val="19"/>
              </w:rPr>
              <w:t xml:space="preserve">0.7145 (observed)</w:t>
            </w:r>
          </w:p>
        </w:tc>
        <w:tc>
          <w:tcPr>
            <w:tcW w:type="dxa" w:w="4680"/>
            <w:tcMar>
              <w:top w:type="dxa" w:w="50"/>
              <w:left w:type="dxa" w:w="90"/>
              <w:bottom w:type="dxa" w:w="50"/>
              <w:right w:type="dxa" w:w="90"/>
            </w:tcMar>
          </w:tcPr>
          <w:p>
            <w:pPr>
              <w:spacing w:after="0" w:line="250"/>
              <w:jc w:val="center"/>
            </w:pPr>
            <w:r>
              <w:rPr>
                <w:rFonts w:ascii="Calibri" w:cs="Calibri" w:eastAsia="Calibri" w:hAnsi="Calibri"/>
                <w:sz w:val="19"/>
                <w:szCs w:val="19"/>
              </w:rPr>
              <w:t xml:space="preserve">0.9130</w:t>
            </w:r>
          </w:p>
        </w:tc>
      </w:tr>
      <w:tr>
        <w:tc>
          <w:tcPr>
            <w:tcW w:type="dxa" w:w="468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0.80</w:t>
            </w:r>
          </w:p>
        </w:tc>
        <w:tc>
          <w:tcPr>
            <w:tcW w:type="dxa" w:w="468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0.9400</w:t>
            </w:r>
          </w:p>
        </w:tc>
      </w:tr>
      <w:tr>
        <w:tc>
          <w:tcPr>
            <w:tcW w:type="dxa" w:w="4680"/>
            <w:tcMar>
              <w:top w:type="dxa" w:w="50"/>
              <w:left w:type="dxa" w:w="90"/>
              <w:bottom w:type="dxa" w:w="50"/>
              <w:right w:type="dxa" w:w="90"/>
            </w:tcMar>
          </w:tcPr>
          <w:p>
            <w:pPr>
              <w:spacing w:after="0" w:line="250"/>
              <w:jc w:val="left"/>
            </w:pPr>
            <w:r>
              <w:rPr>
                <w:rFonts w:ascii="Calibri" w:cs="Calibri" w:eastAsia="Calibri" w:hAnsi="Calibri"/>
                <w:sz w:val="19"/>
                <w:szCs w:val="19"/>
              </w:rPr>
              <w:t xml:space="preserve">0.90</w:t>
            </w:r>
          </w:p>
        </w:tc>
        <w:tc>
          <w:tcPr>
            <w:tcW w:type="dxa" w:w="4680"/>
            <w:tcMar>
              <w:top w:type="dxa" w:w="50"/>
              <w:left w:type="dxa" w:w="90"/>
              <w:bottom w:type="dxa" w:w="50"/>
              <w:right w:type="dxa" w:w="90"/>
            </w:tcMar>
          </w:tcPr>
          <w:p>
            <w:pPr>
              <w:spacing w:after="0" w:line="250"/>
              <w:jc w:val="center"/>
            </w:pPr>
            <w:r>
              <w:rPr>
                <w:rFonts w:ascii="Calibri" w:cs="Calibri" w:eastAsia="Calibri" w:hAnsi="Calibri"/>
                <w:sz w:val="19"/>
                <w:szCs w:val="19"/>
              </w:rPr>
              <w:t xml:space="preserve">0.9700</w:t>
            </w:r>
          </w:p>
        </w:tc>
      </w:tr>
      <w:tr>
        <w:tc>
          <w:tcPr>
            <w:tcW w:type="dxa" w:w="468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1.00</w:t>
            </w:r>
          </w:p>
        </w:tc>
        <w:tc>
          <w:tcPr>
            <w:tcW w:type="dxa" w:w="468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1.0000</w:t>
            </w:r>
          </w:p>
        </w:tc>
      </w:tr>
    </w:tbl>
    <w:p>
      <w:pPr>
        <w:spacing w:after="120" w:line="276"/>
        <w:jc w:val="both"/>
      </w:pPr>
      <w:r>
        <w:rPr>
          <w:rFonts w:ascii="Calibri" w:cs="Calibri" w:eastAsia="Calibri" w:hAnsi="Calibri"/>
          <w:b/>
          <w:bCs/>
          <w:sz w:val="22"/>
          <w:szCs w:val="22"/>
        </w:rPr>
        <w:t xml:space="preserve">Because strict NESS cannot reach unity for computational questions, a composite of 1.0 is mathematically unreachable under the original definition. This is a property of the metric, quantified here, and is one of the motivations for the revision in Section 3.4.</w:t>
      </w:r>
    </w:p>
    <w:p>
      <w:pPr>
        <w:pStyle w:val="Heading2"/>
        <w:spacing w:after="100" w:before="240"/>
      </w:pPr>
      <w:r>
        <w:rPr>
          <w:rFonts w:ascii="Calibri" w:cs="Calibri" w:eastAsia="Calibri" w:hAnsi="Calibri"/>
          <w:b/>
          <w:bCs/>
          <w:color w:val="2E5496"/>
          <w:sz w:val="26"/>
          <w:szCs w:val="26"/>
        </w:rPr>
        <w:t xml:space="preserve">5.4 Requirements for a revised framework</w:t>
      </w:r>
    </w:p>
    <w:p>
      <w:pPr>
        <w:spacing w:after="120" w:line="276"/>
        <w:jc w:val="both"/>
      </w:pPr>
      <w:r>
        <w:rPr>
          <w:rFonts w:ascii="Calibri" w:cs="Calibri" w:eastAsia="Calibri" w:hAnsi="Calibri"/>
          <w:sz w:val="22"/>
          <w:szCs w:val="22"/>
        </w:rPr>
        <w:t xml:space="preserve">The two independent failures of the composite yield concrete requirements rather than a general recommendation to do better.</w:t>
      </w:r>
    </w:p>
    <w:p>
      <w:pPr>
        <w:pStyle w:val="ListParagraph"/>
        <w:numPr>
          <w:ilvl w:val="0"/>
          <w:numId w:val="2"/>
        </w:numPr>
        <w:spacing w:after="60" w:line="276"/>
      </w:pPr>
      <w:r>
        <w:rPr>
          <w:rFonts w:ascii="Calibri" w:cs="Calibri" w:eastAsia="Calibri" w:hAnsi="Calibri"/>
          <w:sz w:val="22"/>
          <w:szCs w:val="22"/>
        </w:rPr>
        <w:t xml:space="preserve">Replace prompted confidence with a probability-derived signal, so the calibration term carries information independent of accuracy. The degeneracy is a property of the signal, not of the weighting alone.</w:t>
      </w:r>
    </w:p>
    <w:p>
      <w:pPr>
        <w:pStyle w:val="ListParagraph"/>
        <w:numPr>
          <w:ilvl w:val="0"/>
          <w:numId w:val="2"/>
        </w:numPr>
        <w:spacing w:after="60" w:line="276"/>
      </w:pPr>
      <w:r>
        <w:rPr>
          <w:rFonts w:ascii="Calibri" w:cs="Calibri" w:eastAsia="Calibri" w:hAnsi="Calibri"/>
          <w:sz w:val="22"/>
          <w:szCs w:val="22"/>
        </w:rPr>
        <w:t xml:space="preserve">Re-weight or orthogonalise the aggregate so that accuracy is not double-counted at an effective weight of 0.50 against a nominal 0.30.</w:t>
      </w:r>
    </w:p>
    <w:p>
      <w:pPr>
        <w:pStyle w:val="ListParagraph"/>
        <w:numPr>
          <w:ilvl w:val="0"/>
          <w:numId w:val="2"/>
        </w:numPr>
        <w:spacing w:after="60" w:line="276"/>
      </w:pPr>
      <w:r>
        <w:rPr>
          <w:rFonts w:ascii="Calibri" w:cs="Calibri" w:eastAsia="Calibri" w:hAnsi="Calibri"/>
          <w:sz w:val="22"/>
          <w:szCs w:val="22"/>
        </w:rPr>
        <w:t xml:space="preserve">Require that any aggregate be published alongside its components. Both failures identified here would be invisible to a reader given only the summary figure.</w:t>
      </w:r>
    </w:p>
    <w:p>
      <w:pPr>
        <w:pStyle w:val="ListParagraph"/>
        <w:numPr>
          <w:ilvl w:val="0"/>
          <w:numId w:val="2"/>
        </w:numPr>
        <w:spacing w:after="60" w:line="276"/>
      </w:pPr>
      <w:r>
        <w:rPr>
          <w:rFonts w:ascii="Calibri" w:cs="Calibri" w:eastAsia="Calibri" w:hAnsi="Calibri"/>
          <w:sz w:val="22"/>
          <w:szCs w:val="22"/>
        </w:rPr>
        <w:t xml:space="preserve">Require a monotonicity check against a known-ordered pair of configurations before an aggregate is adopted. The oracle-versus-retrieval inversion would have been caught by such a check at design time.</w:t>
      </w:r>
    </w:p>
    <w:p>
      <w:r>
        <w:br w:type="page"/>
      </w:r>
    </w:p>
    <w:p>
      <w:pPr>
        <w:pStyle w:val="Heading1"/>
        <w:spacing w:after="140" w:before="320"/>
      </w:pPr>
      <w:r>
        <w:rPr>
          <w:rFonts w:ascii="Calibri" w:cs="Calibri" w:eastAsia="Calibri" w:hAnsi="Calibri"/>
          <w:b/>
          <w:bCs/>
          <w:color w:val="1F3864"/>
          <w:sz w:val="32"/>
          <w:szCs w:val="32"/>
        </w:rPr>
        <w:t xml:space="preserve">6. Limitations and Threats to Validity</w:t>
      </w:r>
    </w:p>
    <w:p>
      <w:pPr>
        <w:pStyle w:val="ListParagraph"/>
        <w:numPr>
          <w:ilvl w:val="0"/>
          <w:numId w:val="2"/>
        </w:numPr>
        <w:spacing w:after="60" w:line="276"/>
      </w:pPr>
      <w:r>
        <w:rPr>
          <w:rFonts w:ascii="Calibri" w:cs="Calibri" w:eastAsia="Calibri" w:hAnsi="Calibri"/>
          <w:sz w:val="22"/>
          <w:szCs w:val="22"/>
        </w:rPr>
        <w:t xml:space="preserve">Sample size. Experiments 1, 3, 4 and 5 use fifty items; Experiment 2 uses ten. The interval on 34% accuracy at n = 50 is [0.224, 0.478]. Sample sizes are stated per experiment and must not be merged without annotation.</w:t>
      </w:r>
    </w:p>
    <w:p>
      <w:pPr>
        <w:pStyle w:val="ListParagraph"/>
        <w:numPr>
          <w:ilvl w:val="0"/>
          <w:numId w:val="2"/>
        </w:numPr>
        <w:spacing w:after="60" w:line="276"/>
      </w:pPr>
      <w:r>
        <w:rPr>
          <w:rFonts w:ascii="Calibri" w:cs="Calibri" w:eastAsia="Calibri" w:hAnsi="Calibri"/>
          <w:sz w:val="22"/>
          <w:szCs w:val="22"/>
        </w:rPr>
        <w:t xml:space="preserve">Answer instability. Approximately 28% of answers change under prompt perturbations unrelated to the question. This is comparable to or larger than several measured effects and is the principal threat to Experiments 2 and 4.</w:t>
      </w:r>
    </w:p>
    <w:p>
      <w:pPr>
        <w:pStyle w:val="ListParagraph"/>
        <w:numPr>
          <w:ilvl w:val="0"/>
          <w:numId w:val="2"/>
        </w:numPr>
        <w:spacing w:after="60" w:line="276"/>
      </w:pPr>
      <w:r>
        <w:rPr>
          <w:rFonts w:ascii="Calibri" w:cs="Calibri" w:eastAsia="Calibri" w:hAnsi="Calibri"/>
          <w:sz w:val="22"/>
          <w:szCs w:val="22"/>
        </w:rPr>
        <w:t xml:space="preserve">Model scale is hardware-bound. Four gigabytes of video memory caps the generator at approximately 3B parameters in 4-bit. Results characterise this configuration, not retrieval-augmented generation on FinQA in general.</w:t>
      </w:r>
    </w:p>
    <w:p>
      <w:pPr>
        <w:pStyle w:val="ListParagraph"/>
        <w:numPr>
          <w:ilvl w:val="0"/>
          <w:numId w:val="2"/>
        </w:numPr>
        <w:spacing w:after="60" w:line="276"/>
      </w:pPr>
      <w:r>
        <w:rPr>
          <w:rFonts w:ascii="Calibri" w:cs="Calibri" w:eastAsia="Calibri" w:hAnsi="Calibri"/>
          <w:sz w:val="22"/>
          <w:szCs w:val="22"/>
        </w:rPr>
        <w:t xml:space="preserve">Quantisation. 4-bit NF4 introduces error relative to half-precision inference of the same model; this was not separately ablated.</w:t>
      </w:r>
    </w:p>
    <w:p>
      <w:pPr>
        <w:pStyle w:val="ListParagraph"/>
        <w:numPr>
          <w:ilvl w:val="0"/>
          <w:numId w:val="2"/>
        </w:numPr>
        <w:spacing w:after="60" w:line="276"/>
      </w:pPr>
      <w:r>
        <w:rPr>
          <w:rFonts w:ascii="Calibri" w:cs="Calibri" w:eastAsia="Calibri" w:hAnsi="Calibri"/>
          <w:sz w:val="22"/>
          <w:szCs w:val="22"/>
        </w:rPr>
        <w:t xml:space="preserve">Single seed. All runs use seed 42 with greedy decoding. Cross-seed variance was not characterised, so no formal noise floor exists against which small effects can be judged.</w:t>
      </w:r>
    </w:p>
    <w:p>
      <w:pPr>
        <w:pStyle w:val="ListParagraph"/>
        <w:numPr>
          <w:ilvl w:val="0"/>
          <w:numId w:val="2"/>
        </w:numPr>
        <w:spacing w:after="60" w:line="276"/>
      </w:pPr>
      <w:r>
        <w:rPr>
          <w:rFonts w:ascii="Calibri" w:cs="Calibri" w:eastAsia="Calibri" w:hAnsi="Calibri"/>
          <w:sz w:val="22"/>
          <w:szCs w:val="22"/>
        </w:rPr>
        <w:t xml:space="preserve">Development split only. The test split is deliberately unused and reserved for a final evaluation.</w:t>
      </w:r>
    </w:p>
    <w:p>
      <w:pPr>
        <w:pStyle w:val="ListParagraph"/>
        <w:numPr>
          <w:ilvl w:val="0"/>
          <w:numId w:val="2"/>
        </w:numPr>
        <w:spacing w:after="60" w:line="276"/>
      </w:pPr>
      <w:r>
        <w:rPr>
          <w:rFonts w:ascii="Calibri" w:cs="Calibri" w:eastAsia="Calibri" w:hAnsi="Calibri"/>
          <w:sz w:val="22"/>
          <w:szCs w:val="22"/>
        </w:rPr>
        <w:t xml:space="preserve">Benchmark annotation noise. At least one incorrect reference was confirmed. The overall rate within FinQA was not estimated.</w:t>
      </w:r>
    </w:p>
    <w:p>
      <w:pPr>
        <w:pStyle w:val="ListParagraph"/>
        <w:numPr>
          <w:ilvl w:val="0"/>
          <w:numId w:val="2"/>
        </w:numPr>
        <w:spacing w:after="60" w:line="276"/>
      </w:pPr>
      <w:r>
        <w:rPr>
          <w:rFonts w:ascii="Calibri" w:cs="Calibri" w:eastAsia="Calibri" w:hAnsi="Calibri"/>
          <w:sz w:val="22"/>
          <w:szCs w:val="22"/>
        </w:rPr>
        <w:t xml:space="preserve">The evidence-support measure is numeric overlap, not entailment. It does not verify that a supported number was used in a logically correct way; a model dividing correct operands in the wrong order produces a derivable and therefore supported value. Accuracy and the verifier catch that case.</w:t>
      </w:r>
    </w:p>
    <w:p>
      <w:pPr>
        <w:pStyle w:val="ListParagraph"/>
        <w:numPr>
          <w:ilvl w:val="0"/>
          <w:numId w:val="2"/>
        </w:numPr>
        <w:spacing w:after="60" w:line="276"/>
      </w:pPr>
      <w:r>
        <w:rPr>
          <w:rFonts w:ascii="Calibri" w:cs="Calibri" w:eastAsia="Calibri" w:hAnsi="Calibri"/>
          <w:sz w:val="22"/>
          <w:szCs w:val="22"/>
        </w:rPr>
        <w:t xml:space="preserve">Hallucination detection is a threshold rule, not a trained classifier, and is characterised as a baseline throughout.</w:t>
      </w:r>
    </w:p>
    <w:p>
      <w:pPr>
        <w:pStyle w:val="ListParagraph"/>
        <w:numPr>
          <w:ilvl w:val="0"/>
          <w:numId w:val="2"/>
        </w:numPr>
        <w:spacing w:after="60" w:line="276"/>
      </w:pPr>
      <w:r>
        <w:rPr>
          <w:rFonts w:ascii="Calibri" w:cs="Calibri" w:eastAsia="Calibri" w:hAnsi="Calibri"/>
          <w:sz w:val="22"/>
          <w:szCs w:val="22"/>
        </w:rPr>
        <w:t xml:space="preserve">Noise magnitude. The maximum condition in Experiment 4 injects four distractor sentences alongside eight retrieved chunks. Larger perturbations were not tested and may be required to move the composite beyond its instability band.</w:t>
      </w:r>
    </w:p>
    <w:p>
      <w:pPr>
        <w:pStyle w:val="ListParagraph"/>
        <w:numPr>
          <w:ilvl w:val="0"/>
          <w:numId w:val="2"/>
        </w:numPr>
        <w:spacing w:after="60" w:line="276"/>
      </w:pPr>
      <w:r>
        <w:rPr>
          <w:rFonts w:ascii="Calibri" w:cs="Calibri" w:eastAsia="Calibri" w:hAnsi="Calibri"/>
          <w:sz w:val="22"/>
          <w:szCs w:val="22"/>
        </w:rPr>
        <w:t xml:space="preserve">Scope reduction against the original design. Three of the five proposed stages were not implemented, as recorded in Section 1.4.</w:t>
      </w:r>
    </w:p>
    <w:p>
      <w:pPr>
        <w:pStyle w:val="Heading1"/>
        <w:spacing w:after="140" w:before="320"/>
      </w:pPr>
      <w:r>
        <w:rPr>
          <w:rFonts w:ascii="Calibri" w:cs="Calibri" w:eastAsia="Calibri" w:hAnsi="Calibri"/>
          <w:b/>
          <w:bCs/>
          <w:color w:val="1F3864"/>
          <w:sz w:val="32"/>
          <w:szCs w:val="32"/>
        </w:rPr>
        <w:t xml:space="preserve">7. Reproduction Instructions</w:t>
      </w:r>
    </w:p>
    <w:p>
      <w:pPr>
        <w:spacing w:after="120" w:line="276"/>
        <w:jc w:val="both"/>
      </w:pPr>
      <w:r>
        <w:rPr>
          <w:rFonts w:ascii="Calibri" w:cs="Calibri" w:eastAsia="Calibri" w:hAnsi="Calibri"/>
          <w:sz w:val="22"/>
          <w:szCs w:val="22"/>
        </w:rPr>
        <w:t xml:space="preserve">All experiments are deterministic given a fixed seed. Generation is greedy, retrieval is exact nearest-neighbour search over fixed embeddings, and sample selection takes the first n items rather than a random draw. Three test suites execute independently of the experiments:</w:t>
      </w:r>
    </w:p>
    <w:p>
      <w:pPr>
        <w:shd w:fill="F2F2F2" w:val="clear"/>
        <w:spacing w:after="120" w:before="80" w:line="240"/>
        <w:ind w:left="288"/>
      </w:pPr>
      <w:r>
        <w:rPr>
          <w:rFonts w:ascii="Consolas" w:cs="Consolas" w:eastAsia="Consolas" w:hAnsi="Consolas"/>
          <w:sz w:val="17"/>
          <w:szCs w:val="17"/>
        </w:rPr>
        <w:t xml:space="preserve">python experiments/finqa_gold.py     # gold-resolution regression tests</w:t>
      </w:r>
      <w:r>
        <w:br/>
        <w:t xml:space="preserve"/>
      </w:r>
      <w:r>
        <w:rPr>
          <w:rFonts w:ascii="Consolas" w:cs="Consolas" w:eastAsia="Consolas" w:hAnsi="Consolas"/>
          <w:sz w:val="17"/>
          <w:szCs w:val="17"/>
        </w:rPr>
        <w:t xml:space="preserve">python -m framework.nrf              # metric tests + false-positive validation</w:t>
      </w:r>
      <w:r>
        <w:br/>
        <w:t xml:space="preserve"/>
      </w:r>
      <w:r>
        <w:rPr>
          <w:rFonts w:ascii="Consolas" w:cs="Consolas" w:eastAsia="Consolas" w:hAnsi="Consolas"/>
          <w:sz w:val="17"/>
          <w:szCs w:val="17"/>
        </w:rPr>
        <w:t xml:space="preserve">python -m framework.verifier         # verifier regression tests</w:t>
      </w:r>
    </w:p>
    <w:p>
      <w:pPr>
        <w:spacing w:after="120" w:line="276"/>
        <w:jc w:val="both"/>
      </w:pPr>
      <w:r>
        <w:rPr>
          <w:rFonts w:ascii="Calibri" w:cs="Calibri" w:eastAsia="Calibri" w:hAnsi="Calibri"/>
          <w:sz w:val="22"/>
          <w:szCs w:val="22"/>
        </w:rPr>
        <w:t xml:space="preserve">Experiment commands:</w:t>
      </w:r>
    </w:p>
    <w:p>
      <w:pPr>
        <w:shd w:fill="F2F2F2" w:val="clear"/>
        <w:spacing w:after="120" w:before="80" w:line="240"/>
        <w:ind w:left="288"/>
      </w:pPr>
      <w:r>
        <w:rPr>
          <w:rFonts w:ascii="Consolas" w:cs="Consolas" w:eastAsia="Consolas" w:hAnsi="Consolas"/>
          <w:sz w:val="17"/>
          <w:szCs w:val="17"/>
        </w:rPr>
        <w:t xml:space="preserve">python -m experiments.experiment1 --split dev --n 50</w:t>
      </w:r>
      <w:r>
        <w:br/>
        <w:t xml:space="preserve"/>
      </w:r>
      <w:r>
        <w:rPr>
          <w:rFonts w:ascii="Consolas" w:cs="Consolas" w:eastAsia="Consolas" w:hAnsi="Consolas"/>
          <w:sz w:val="17"/>
          <w:szCs w:val="17"/>
        </w:rPr>
        <w:t xml:space="preserve">python -m experiments.experiment2 --split dev --n 50 \</w:t>
      </w:r>
      <w:r>
        <w:br/>
        <w:t xml:space="preserve"/>
      </w:r>
      <w:r>
        <w:rPr>
          <w:rFonts w:ascii="Consolas" w:cs="Consolas" w:eastAsia="Consolas" w:hAnsi="Consolas"/>
          <w:sz w:val="17"/>
          <w:szCs w:val="17"/>
        </w:rPr>
        <w:t xml:space="preserve">        --conditions clean evidence_injection</w:t>
      </w:r>
      <w:r>
        <w:br/>
        <w:t xml:space="preserve"/>
      </w:r>
      <w:r>
        <w:rPr>
          <w:rFonts w:ascii="Consolas" w:cs="Consolas" w:eastAsia="Consolas" w:hAnsi="Consolas"/>
          <w:sz w:val="17"/>
          <w:szCs w:val="17"/>
        </w:rPr>
        <w:t xml:space="preserve">python -m experiments.experiment3 --split dev --n 50</w:t>
      </w:r>
      <w:r>
        <w:br/>
        <w:t xml:space="preserve"/>
      </w:r>
      <w:r>
        <w:rPr>
          <w:rFonts w:ascii="Consolas" w:cs="Consolas" w:eastAsia="Consolas" w:hAnsi="Consolas"/>
          <w:sz w:val="17"/>
          <w:szCs w:val="17"/>
        </w:rPr>
        <w:t xml:space="preserve">python -m experiments.experiment4 --split dev --n 50</w:t>
      </w:r>
      <w:r>
        <w:br/>
        <w:t xml:space="preserve"/>
      </w:r>
      <w:r>
        <w:rPr>
          <w:rFonts w:ascii="Consolas" w:cs="Consolas" w:eastAsia="Consolas" w:hAnsi="Consolas"/>
          <w:sz w:val="17"/>
          <w:szCs w:val="17"/>
        </w:rPr>
        <w:t xml:space="preserve">python -m experiments.experiment5 --split dev --n 50</w:t>
      </w:r>
      <w:r>
        <w:br/>
        <w:t xml:space="preserve"/>
      </w:r>
      <w:r>
        <w:rPr>
          <w:rFonts w:ascii="Consolas" w:cs="Consolas" w:eastAsia="Consolas" w:hAnsi="Consolas"/>
          <w:sz w:val="17"/>
          <w:szCs w:val="17"/>
        </w:rPr>
        <w:t xml:space="preserve">python -m experiments.weight_sensitivity   # Section 4.6, re-scores saved results, no GPU</w:t>
      </w:r>
      <w:r>
        <w:br/>
        <w:t xml:space="preserve"/>
      </w:r>
      <w:r>
        <w:rPr>
          <w:rFonts w:ascii="Consolas" w:cs="Consolas" w:eastAsia="Consolas" w:hAnsi="Consolas"/>
          <w:sz w:val="17"/>
          <w:szCs w:val="17"/>
        </w:rPr>
        <w:t xml:space="preserve">python -m experiments.confidence_line_audit   # Section 4.7, re-scores saved results, no GPU</w:t>
      </w:r>
    </w:p>
    <w:p>
      <w:pPr>
        <w:spacing w:after="120" w:line="276"/>
        <w:jc w:val="both"/>
      </w:pPr>
      <w:r>
        <w:rPr>
          <w:rFonts w:ascii="Calibri" w:cs="Calibri" w:eastAsia="Calibri" w:hAnsi="Calibri"/>
          <w:sz w:val="22"/>
          <w:szCs w:val="22"/>
        </w:rPr>
        <w:t xml:space="preserve">Optional flags: --ness-mode {strict,derived}, --engine {local,anthropic}, --injection-mode {evidence,document} for Experiment 4, --conditions for Experiments 2 and 5, --seed, --top-k.</w:t>
      </w:r>
    </w:p>
    <w:p>
      <w:pPr>
        <w:spacing w:after="120" w:line="276"/>
        <w:jc w:val="both"/>
      </w:pPr>
      <w:r>
        <w:rPr>
          <w:rFonts w:ascii="Calibri" w:cs="Calibri" w:eastAsia="Calibri" w:hAnsi="Calibri"/>
          <w:sz w:val="22"/>
          <w:szCs w:val="22"/>
        </w:rPr>
        <w:t xml:space="preserve">Each experiment writes a per-example CSV and a summary JSON to the results directory, named by split and engine. Both evidence-support definitions, the manipulation check and all diagnostic fields are recorded on every row, so any completed run can be re-scored under either definition without regenerating model outputs.</w:t>
      </w:r>
    </w:p>
    <w:p>
      <w:pPr>
        <w:pStyle w:val="Heading1"/>
        <w:spacing w:after="140" w:before="320"/>
      </w:pPr>
      <w:r>
        <w:rPr>
          <w:rFonts w:ascii="Calibri" w:cs="Calibri" w:eastAsia="Calibri" w:hAnsi="Calibri"/>
          <w:b/>
          <w:bCs/>
          <w:color w:val="1F3864"/>
          <w:sz w:val="32"/>
          <w:szCs w:val="32"/>
        </w:rPr>
        <w:t xml:space="preserve">8. Future Work</w:t>
      </w:r>
    </w:p>
    <w:p>
      <w:pPr>
        <w:pStyle w:val="ListParagraph"/>
        <w:numPr>
          <w:ilvl w:val="0"/>
          <w:numId w:val="2"/>
        </w:numPr>
        <w:spacing w:after="60" w:line="276"/>
      </w:pPr>
      <w:r>
        <w:rPr>
          <w:rFonts w:ascii="Calibri" w:cs="Calibri" w:eastAsia="Calibri" w:hAnsi="Calibri"/>
          <w:sz w:val="22"/>
          <w:szCs w:val="22"/>
        </w:rPr>
        <w:t xml:space="preserve">Implement the consistency dimension identified in the original research design, assessing stability across varied linguistic expressions of the same numerical intent. This is the one gap-closing mechanism from the design document that remains unaddressed.</w:t>
      </w:r>
    </w:p>
    <w:p>
      <w:pPr>
        <w:pStyle w:val="ListParagraph"/>
        <w:numPr>
          <w:ilvl w:val="0"/>
          <w:numId w:val="2"/>
        </w:numPr>
        <w:spacing w:after="60" w:line="276"/>
      </w:pPr>
      <w:r>
        <w:rPr>
          <w:rFonts w:ascii="Calibri" w:cs="Calibri" w:eastAsia="Calibri" w:hAnsi="Calibri"/>
          <w:sz w:val="22"/>
          <w:szCs w:val="22"/>
        </w:rPr>
        <w:t xml:space="preserve">Frontier-model comparison through the identical pipeline. The backend is implemented and shares retrieval, scoring and verification with the local path. Experiment 5 indicates this is where the available improvement lies, since 88% of remaining error is reasoning-bound.</w:t>
      </w:r>
    </w:p>
    <w:p>
      <w:pPr>
        <w:pStyle w:val="ListParagraph"/>
        <w:numPr>
          <w:ilvl w:val="0"/>
          <w:numId w:val="2"/>
        </w:numPr>
        <w:spacing w:after="60" w:line="276"/>
      </w:pPr>
      <w:r>
        <w:rPr>
          <w:rFonts w:ascii="Calibri" w:cs="Calibri" w:eastAsia="Calibri" w:hAnsi="Calibri"/>
          <w:sz w:val="22"/>
          <w:szCs w:val="22"/>
        </w:rPr>
        <w:t xml:space="preserve">Probability-derived confidence to replace prompted self-assessment, making the calibration term informative and permitting re-derivation of the composite weights.</w:t>
      </w:r>
    </w:p>
    <w:p>
      <w:pPr>
        <w:pStyle w:val="ListParagraph"/>
        <w:numPr>
          <w:ilvl w:val="0"/>
          <w:numId w:val="2"/>
        </w:numPr>
        <w:spacing w:after="60" w:line="276"/>
      </w:pPr>
      <w:r>
        <w:rPr>
          <w:rFonts w:ascii="Calibri" w:cs="Calibri" w:eastAsia="Calibri" w:hAnsi="Calibri"/>
          <w:sz w:val="22"/>
          <w:szCs w:val="22"/>
        </w:rPr>
        <w:t xml:space="preserve">Re-weighting or orthogonalisation of the aggregate, validated against a monotonicity check on a known-ordered configuration pair.</w:t>
      </w:r>
      <w:r>
        <w:rPr>
          <w:rFonts w:ascii="Calibri" w:cs="Calibri" w:eastAsia="Calibri" w:hAnsi="Calibri"/>
          <w:sz w:val="22"/>
          <w:szCs w:val="22"/>
        </w:rPr>
        <w:t xml:space="preserve"> The post-hoc analysis in Section 4.6 shows that re-weighting alone cannot satisfy both falsification tests with the current components, so this depends on the confidence revision above.</w:t>
      </w:r>
      <w:r>
        <w:rPr>
          <w:rFonts w:ascii="Calibri" w:cs="Calibri" w:eastAsia="Calibri" w:hAnsi="Calibri"/>
          <w:sz w:val="22"/>
          <w:szCs w:val="22"/>
        </w:rPr>
        <w:t xml:space="preserve"> Experiments 1, 2, 4 and 5 should also be re-run with the corrected evidence-support scorer (Section 4.7).</w:t>
      </w:r>
    </w:p>
    <w:p>
      <w:pPr>
        <w:pStyle w:val="ListParagraph"/>
        <w:numPr>
          <w:ilvl w:val="0"/>
          <w:numId w:val="2"/>
        </w:numPr>
        <w:spacing w:after="60" w:line="276"/>
      </w:pPr>
      <w:r>
        <w:rPr>
          <w:rFonts w:ascii="Calibri" w:cs="Calibri" w:eastAsia="Calibri" w:hAnsi="Calibri"/>
          <w:sz w:val="22"/>
          <w:szCs w:val="22"/>
        </w:rPr>
        <w:t xml:space="preserve">Table-aware retrieval. Per-row dense retrieval was confirmed to miss the specific row a question requires when near-duplicate prose outranks it, though Experiment 5 bounds the available gain at eight accuracy points.</w:t>
      </w:r>
    </w:p>
    <w:p>
      <w:pPr>
        <w:pStyle w:val="ListParagraph"/>
        <w:numPr>
          <w:ilvl w:val="0"/>
          <w:numId w:val="2"/>
        </w:numPr>
        <w:spacing w:after="60" w:line="276"/>
      </w:pPr>
      <w:r>
        <w:rPr>
          <w:rFonts w:ascii="Calibri" w:cs="Calibri" w:eastAsia="Calibri" w:hAnsi="Calibri"/>
          <w:sz w:val="22"/>
          <w:szCs w:val="22"/>
        </w:rPr>
        <w:t xml:space="preserve">Multi-seed characterisation to establish a formal noise floor against which effect sizes at this scale can be judged.</w:t>
      </w:r>
    </w:p>
    <w:p>
      <w:pPr>
        <w:pStyle w:val="ListParagraph"/>
        <w:numPr>
          <w:ilvl w:val="0"/>
          <w:numId w:val="2"/>
        </w:numPr>
        <w:spacing w:after="60" w:line="276"/>
      </w:pPr>
      <w:r>
        <w:rPr>
          <w:rFonts w:ascii="Calibri" w:cs="Calibri" w:eastAsia="Calibri" w:hAnsi="Calibri"/>
          <w:sz w:val="22"/>
          <w:szCs w:val="22"/>
        </w:rPr>
        <w:t xml:space="preserve">Extension to conversational and hybrid table-text settings, testing whether the components remain informative when intermediate results become operands in later turns.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School of Computing, Ulster University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NRF Supporting Evidence  |  B01043066  |  Gandi-AP@ulster.ac.uk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Prakash Gandi</dc:creator>
  <cp:lastModifiedBy>Aaron Prakash Gandi</cp:lastModifiedBy>
  <cp:revision>1</cp:revision>
  <dcterms:created xsi:type="dcterms:W3CDTF">2026-08-25T08:26:37Z</dcterms:created>
  <dcterms:modified xsi:type="dcterms:W3CDTF">2026-08-25T08:26:37Z</dcterms:modified>
  <dc:title>NRF Supporting Evidence - B01043066</dc:title>
  <dc:subject>MSc Research Project Supporting Evidence</dc:subject>
</cp:coreProperties>
</file>

<file path=docProps/custom.xml><?xml version="1.0" encoding="utf-8"?>
<Properties xmlns="http://schemas.openxmlformats.org/officeDocument/2006/custom-properties" xmlns:vt="http://schemas.openxmlformats.org/officeDocument/2006/docPropsVTypes"/>
</file>