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D4ED8"/>
          <w:sz w:val="44"/>
        </w:rPr>
        <w:t>EduTrack LMS — Overview</w:t>
      </w:r>
    </w:p>
    <w:p>
      <w:pPr>
        <w:jc w:val="center"/>
      </w:pPr>
      <w:r>
        <w:rPr>
          <w:color w:val="6B7280"/>
        </w:rPr>
        <w:t>EduTrack LMS — South African Multi-School Learner Management System</w:t>
      </w:r>
    </w:p>
    <w:p/>
    <w:p>
      <w:pPr>
        <w:pStyle w:val="Heading1"/>
      </w:pPr>
      <w:r>
        <w:rPr>
          <w:color w:val="1D4ED8"/>
        </w:rPr>
        <w:t>EduTrack LMS</w:t>
      </w:r>
    </w:p>
    <w:p>
      <w:r>
        <w:t>South African Multi-School Learner Management System</w:t>
      </w:r>
    </w:p>
    <w:p>
      <w:r>
        <w:t>A CAPS-native, multi-tenant SaaS platform for South African schools — built to replace the double-capture burden of SA-SAMS with a modern, load-shedding-resilient system that schools actually want to use.</w:t>
      </w:r>
    </w:p>
    <w:p>
      <w:r>
        <w:rPr>
          <w:color w:val="D1D5D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5803D"/>
        </w:rPr>
        <w:t>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D4ED8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4561"/>
            <w:shd w:val="clear" w:color="auto" w:fill="1D4ED8"/>
          </w:tcPr>
          <w:p>
            <w:r>
              <w:rPr>
                <w:b/>
                <w:color w:val="FFFFFF"/>
              </w:rPr>
              <w:t>Technology</w:t>
            </w:r>
          </w:p>
        </w:tc>
      </w:tr>
      <w:tr>
        <w:tc>
          <w:tcPr>
            <w:tcW w:type="dxa" w:w="4561"/>
          </w:tcPr>
          <w:p>
            <w:r>
              <w:t>Frontend</w:t>
            </w:r>
          </w:p>
        </w:tc>
        <w:tc>
          <w:tcPr>
            <w:tcW w:type="dxa" w:w="4561"/>
          </w:tcPr>
          <w:p>
            <w:r>
              <w:t>Next.js 14 + TypeScript</w:t>
            </w:r>
          </w:p>
        </w:tc>
      </w:tr>
      <w:tr>
        <w:tc>
          <w:tcPr>
            <w:tcW w:type="dxa" w:w="4561"/>
          </w:tcPr>
          <w:p>
            <w:r>
              <w:t>Styling</w:t>
            </w:r>
          </w:p>
        </w:tc>
        <w:tc>
          <w:tcPr>
            <w:tcW w:type="dxa" w:w="4561"/>
          </w:tcPr>
          <w:p>
            <w:r>
              <w:t>Tailwind CSS + Shadcn/ui</w:t>
            </w:r>
          </w:p>
        </w:tc>
      </w:tr>
      <w:tr>
        <w:tc>
          <w:tcPr>
            <w:tcW w:type="dxa" w:w="4561"/>
          </w:tcPr>
          <w:p>
            <w:r>
              <w:t>Backend</w:t>
            </w:r>
          </w:p>
        </w:tc>
        <w:tc>
          <w:tcPr>
            <w:tcW w:type="dxa" w:w="4561"/>
          </w:tcPr>
          <w:p>
            <w:r>
              <w:t>Node.js + NestJS</w:t>
            </w:r>
          </w:p>
        </w:tc>
      </w:tr>
      <w:tr>
        <w:tc>
          <w:tcPr>
            <w:tcW w:type="dxa" w:w="4561"/>
          </w:tcPr>
          <w:p>
            <w:r>
              <w:t>ORM</w:t>
            </w:r>
          </w:p>
        </w:tc>
        <w:tc>
          <w:tcPr>
            <w:tcW w:type="dxa" w:w="4561"/>
          </w:tcPr>
          <w:p>
            <w:r>
              <w:t>Prisma</w:t>
            </w:r>
          </w:p>
        </w:tc>
      </w:tr>
      <w:tr>
        <w:tc>
          <w:tcPr>
            <w:tcW w:type="dxa" w:w="4561"/>
          </w:tcPr>
          <w:p>
            <w:r>
              <w:t>Database</w:t>
            </w:r>
          </w:p>
        </w:tc>
        <w:tc>
          <w:tcPr>
            <w:tcW w:type="dxa" w:w="4561"/>
          </w:tcPr>
          <w:p>
            <w:r>
              <w:t>PostgreSQL 16 (Row Level Security)</w:t>
            </w:r>
          </w:p>
        </w:tc>
      </w:tr>
      <w:tr>
        <w:tc>
          <w:tcPr>
            <w:tcW w:type="dxa" w:w="4561"/>
          </w:tcPr>
          <w:p>
            <w:r>
              <w:t>Cache / Queues</w:t>
            </w:r>
          </w:p>
        </w:tc>
        <w:tc>
          <w:tcPr>
            <w:tcW w:type="dxa" w:w="4561"/>
          </w:tcPr>
          <w:p>
            <w:r>
              <w:t>Redis + BullMQ</w:t>
            </w:r>
          </w:p>
        </w:tc>
      </w:tr>
      <w:tr>
        <w:tc>
          <w:tcPr>
            <w:tcW w:type="dxa" w:w="4561"/>
          </w:tcPr>
          <w:p>
            <w:r>
              <w:t>Auth</w:t>
            </w:r>
          </w:p>
        </w:tc>
        <w:tc>
          <w:tcPr>
            <w:tcW w:type="dxa" w:w="4561"/>
          </w:tcPr>
          <w:p>
            <w:r>
              <w:t>NextAuth.js (JWT, multi-tenant)</w:t>
            </w:r>
          </w:p>
        </w:tc>
      </w:tr>
      <w:tr>
        <w:tc>
          <w:tcPr>
            <w:tcW w:type="dxa" w:w="4561"/>
          </w:tcPr>
          <w:p>
            <w:r>
              <w:t>File Storage</w:t>
            </w:r>
          </w:p>
        </w:tc>
        <w:tc>
          <w:tcPr>
            <w:tcW w:type="dxa" w:w="4561"/>
          </w:tcPr>
          <w:p>
            <w:r>
              <w:t>AWS S3 (af-south-1)</w:t>
            </w:r>
          </w:p>
        </w:tc>
      </w:tr>
      <w:tr>
        <w:tc>
          <w:tcPr>
            <w:tcW w:type="dxa" w:w="4561"/>
          </w:tcPr>
          <w:p>
            <w:r>
              <w:t>Cloud</w:t>
            </w:r>
          </w:p>
        </w:tc>
        <w:tc>
          <w:tcPr>
            <w:tcW w:type="dxa" w:w="4561"/>
          </w:tcPr>
          <w:p>
            <w:r>
              <w:t>AWS Cape Town — POPI compliant</w:t>
            </w:r>
          </w:p>
        </w:tc>
      </w:tr>
    </w:tbl>
    <w:p/>
    <w:p>
      <w:r>
        <w:rPr>
          <w:color w:val="D1D5D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5803D"/>
        </w:rPr>
        <w:t>Project Structure</w:t>
      </w:r>
    </w:p>
    <w:p>
      <w:pPr>
        <w:ind w:left="567"/>
        <w:shd w:val="clear" w:color="auto" w:fill="F1F5F9"/>
      </w:pPr>
      <w:r>
        <w:rPr>
          <w:rFonts w:ascii="Courier New" w:hAnsi="Courier New"/>
          <w:color w:val="1A1A2E"/>
          <w:sz w:val="16"/>
        </w:rPr>
        <w:t>edutrack-lms/</w:t>
        <w:br/>
        <w:t>├── apps/</w:t>
        <w:br/>
        <w:t>│   ├── web/          # Next.js 14 frontend (admin + portals)</w:t>
        <w:br/>
        <w:t>│   └── api/          # NestJS backend (REST API)</w:t>
        <w:br/>
        <w:t>├── packages/</w:t>
        <w:br/>
        <w:t>│   └── db/           # Shared Prisma schema + migrations</w:t>
        <w:br/>
        <w:t>├── docker/           # Docker Compose for local development</w:t>
        <w:br/>
        <w:t>└── .github/          # CI/CD workflows</w:t>
      </w:r>
    </w:p>
    <w:p>
      <w:r>
        <w:rPr>
          <w:color w:val="D1D5D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5803D"/>
        </w:rPr>
        <w:t>Prerequisites</w:t>
      </w:r>
    </w:p>
    <w:p>
      <w:pPr>
        <w:pStyle w:val="ListBullet"/>
        <w:ind w:left="0"/>
      </w:pPr>
      <w:r>
        <w:t>Node.js 20+</w:t>
      </w:r>
    </w:p>
    <w:p>
      <w:pPr>
        <w:pStyle w:val="ListBullet"/>
        <w:ind w:left="0"/>
      </w:pPr>
      <w:r>
        <w:t>Docker Desktop</w:t>
      </w:r>
    </w:p>
    <w:p>
      <w:pPr>
        <w:pStyle w:val="ListBullet"/>
        <w:ind w:left="0"/>
      </w:pPr>
      <w:r>
        <w:t>PostgreSQL 16 (via Docker)</w:t>
      </w:r>
    </w:p>
    <w:p>
      <w:pPr>
        <w:pStyle w:val="ListBullet"/>
        <w:ind w:left="0"/>
      </w:pPr>
      <w:r>
        <w:t>Redis 7 (via Docker)</w:t>
      </w:r>
    </w:p>
    <w:p>
      <w:r>
        <w:rPr>
          <w:color w:val="D1D5D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5803D"/>
        </w:rPr>
        <w:t>Getting Started</w:t>
      </w:r>
    </w:p>
    <w:p>
      <w:pPr>
        <w:ind w:left="567"/>
        <w:shd w:val="clear" w:color="auto" w:fill="F1F5F9"/>
      </w:pPr>
      <w:r>
        <w:rPr>
          <w:rFonts w:ascii="Courier New" w:hAnsi="Courier New"/>
          <w:color w:val="1A1A2E"/>
          <w:sz w:val="16"/>
        </w:rPr>
        <w:t># 1. Clone the repository</w:t>
        <w:br/>
        <w:t>git clone https://github.com/your-org/edutrack-lms.git</w:t>
        <w:br/>
        <w:t>cd edutrack-lms</w:t>
        <w:br/>
        <w:br/>
        <w:t># 2. Install dependencies</w:t>
        <w:br/>
        <w:t>npm install</w:t>
        <w:br/>
        <w:br/>
        <w:t># 3. Start database and Redis</w:t>
        <w:br/>
        <w:t>docker-compose -f docker/docker-compose.yml up -d</w:t>
        <w:br/>
        <w:br/>
        <w:t># 4. Set up environment variables</w:t>
        <w:br/>
        <w:t>cp apps/api/.env.example apps/api/.env</w:t>
        <w:br/>
        <w:t>cp apps/web/.env.local.example apps/web/.env.local</w:t>
        <w:br/>
        <w:br/>
        <w:t># 5. Run database migrations</w:t>
        <w:br/>
        <w:t>cd packages/db</w:t>
        <w:br/>
        <w:t>npx prisma migrate dev</w:t>
        <w:br/>
        <w:br/>
        <w:t># 6. Seed the database (CAPS subjects, provinces, phases)</w:t>
        <w:br/>
        <w:t>npx prisma db seed</w:t>
        <w:br/>
        <w:br/>
        <w:t># 7. Start development servers</w:t>
        <w:br/>
        <w:t>npm run dev</w:t>
      </w:r>
    </w:p>
    <w:p>
      <w:pPr>
        <w:pStyle w:val="ListBullet"/>
        <w:ind w:left="0"/>
      </w:pPr>
      <w:r>
        <w:t>Frontend: http://localhost:3000</w:t>
      </w:r>
    </w:p>
    <w:p>
      <w:pPr>
        <w:pStyle w:val="ListBullet"/>
        <w:ind w:left="0"/>
      </w:pPr>
      <w:r>
        <w:t>API: http://localhost:3001</w:t>
      </w:r>
    </w:p>
    <w:p>
      <w:pPr>
        <w:pStyle w:val="ListBullet"/>
        <w:ind w:left="0"/>
      </w:pPr>
      <w:r>
        <w:t>API Docs (Swagger): http://localhost:3001/api</w:t>
      </w:r>
    </w:p>
    <w:p>
      <w:r>
        <w:rPr>
          <w:color w:val="D1D5D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5803D"/>
        </w:rPr>
        <w:t>Modules</w:t>
      </w:r>
    </w:p>
    <w:p>
      <w:pPr>
        <w:pStyle w:val="Heading3"/>
      </w:pPr>
      <w:r>
        <w:rPr>
          <w:color w:val="1E40AF"/>
        </w:rPr>
        <w:t>Tier 1 — MVP</w:t>
      </w:r>
    </w:p>
    <w:p>
      <w:pPr>
        <w:pStyle w:val="ListNumber"/>
      </w:pPr>
      <w:r>
        <w:t>School Onboarding &amp; Configuration</w:t>
      </w:r>
    </w:p>
    <w:p>
      <w:pPr>
        <w:pStyle w:val="ListNumber"/>
      </w:pPr>
      <w:r>
        <w:t>User Roles &amp; Permissions</w:t>
      </w:r>
    </w:p>
    <w:p>
      <w:pPr>
        <w:pStyle w:val="ListNumber"/>
      </w:pPr>
      <w:r>
        <w:t>Learner Registration</w:t>
      </w:r>
    </w:p>
    <w:p>
      <w:pPr>
        <w:pStyle w:val="ListNumber"/>
      </w:pPr>
      <w:r>
        <w:t>Student Number Allocation</w:t>
      </w:r>
    </w:p>
    <w:p>
      <w:pPr>
        <w:pStyle w:val="ListNumber"/>
      </w:pPr>
      <w:r>
        <w:t>Subject Choice &amp; Allocation (CAPS Gr4–9)</w:t>
      </w:r>
    </w:p>
    <w:p>
      <w:pPr>
        <w:pStyle w:val="ListNumber"/>
      </w:pPr>
      <w:r>
        <w:t>Timetabling</w:t>
      </w:r>
    </w:p>
    <w:p>
      <w:pPr>
        <w:pStyle w:val="ListNumber"/>
      </w:pPr>
      <w:r>
        <w:t>Attendance Tracking</w:t>
      </w:r>
    </w:p>
    <w:p>
      <w:pPr>
        <w:pStyle w:val="ListNumber"/>
      </w:pPr>
      <w:r>
        <w:t>Assessment Engine (Diagnostic, Learning Profile, Formative, Summative)</w:t>
      </w:r>
    </w:p>
    <w:p>
      <w:pPr>
        <w:pStyle w:val="ListNumber"/>
      </w:pPr>
      <w:r>
        <w:t>Report Cards + CAPS Promotion Engine</w:t>
      </w:r>
    </w:p>
    <w:p>
      <w:pPr>
        <w:pStyle w:val="ListNumber"/>
      </w:pPr>
      <w:r>
        <w:t>SA-SAMS / LURITS Export</w:t>
      </w:r>
    </w:p>
    <w:p>
      <w:pPr>
        <w:pStyle w:val="Heading3"/>
      </w:pPr>
      <w:r>
        <w:rPr>
          <w:color w:val="1E40AF"/>
        </w:rPr>
        <w:t>Tier 2 — Growth</w:t>
      </w:r>
    </w:p>
    <w:p>
      <w:pPr>
        <w:pStyle w:val="ListNumber"/>
      </w:pPr>
      <w:r>
        <w:t>Communication (SMS, email, push notifications)</w:t>
      </w:r>
    </w:p>
    <w:p>
      <w:pPr>
        <w:pStyle w:val="ListNumber"/>
      </w:pPr>
      <w:r>
        <w:t>Parent &amp; Learner Portal</w:t>
      </w:r>
    </w:p>
    <w:p>
      <w:pPr>
        <w:pStyle w:val="ListNumber"/>
      </w:pPr>
      <w:r>
        <w:t>Fee &amp; Finance Management</w:t>
      </w:r>
    </w:p>
    <w:p>
      <w:pPr>
        <w:pStyle w:val="ListNumber"/>
      </w:pPr>
      <w:r>
        <w:t>Online Payments (PayFast)</w:t>
      </w:r>
    </w:p>
    <w:p>
      <w:pPr>
        <w:pStyle w:val="ListNumber"/>
      </w:pPr>
      <w:r>
        <w:t>Admissions &amp; Enrolment</w:t>
      </w:r>
    </w:p>
    <w:p>
      <w:pPr>
        <w:pStyle w:val="ListNumber"/>
      </w:pPr>
      <w:r>
        <w:t>Examination Management</w:t>
      </w:r>
    </w:p>
    <w:p>
      <w:pPr>
        <w:pStyle w:val="ListNumber"/>
      </w:pPr>
      <w:r>
        <w:t>Analytics Dashboard</w:t>
      </w:r>
    </w:p>
    <w:p>
      <w:r>
        <w:rPr>
          <w:color w:val="D1D5D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5803D"/>
        </w:rPr>
        <w:t>Architecture</w:t>
      </w:r>
    </w:p>
    <w:p>
      <w:r>
        <w:t>Multi-Tenancy: PostgreSQL Row Level Security with school_id on every tenant table. Each school's data is completely isolated at the database level.</w:t>
      </w:r>
    </w:p>
    <w:p>
      <w:r>
        <w:t>CAPS-Native: Assessment weightings, promotion criteria, and progression rules are hard-coded per CAPS phase — not manually configured.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D4ED8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280"/>
            <w:shd w:val="clear" w:color="auto" w:fill="1D4ED8"/>
          </w:tcPr>
          <w:p>
            <w:r>
              <w:rPr>
                <w:b/>
                <w:color w:val="FFFFFF"/>
              </w:rPr>
              <w:t>Grades</w:t>
            </w:r>
          </w:p>
        </w:tc>
        <w:tc>
          <w:tcPr>
            <w:tcW w:type="dxa" w:w="2280"/>
            <w:shd w:val="clear" w:color="auto" w:fill="1D4ED8"/>
          </w:tcPr>
          <w:p>
            <w:r>
              <w:rPr>
                <w:b/>
                <w:color w:val="FFFFFF"/>
              </w:rPr>
              <w:t>SBA</w:t>
            </w:r>
          </w:p>
        </w:tc>
        <w:tc>
          <w:tcPr>
            <w:tcW w:type="dxa" w:w="2280"/>
            <w:shd w:val="clear" w:color="auto" w:fill="1D4ED8"/>
          </w:tcPr>
          <w:p>
            <w:r>
              <w:rPr>
                <w:b/>
                <w:color w:val="FFFFFF"/>
              </w:rPr>
              <w:t>Exam</w:t>
            </w:r>
          </w:p>
        </w:tc>
      </w:tr>
      <w:tr>
        <w:tc>
          <w:tcPr>
            <w:tcW w:type="dxa" w:w="2280"/>
          </w:tcPr>
          <w:p>
            <w:r>
              <w:t>Intermediate</w:t>
            </w:r>
          </w:p>
        </w:tc>
        <w:tc>
          <w:tcPr>
            <w:tcW w:type="dxa" w:w="2280"/>
          </w:tcPr>
          <w:p>
            <w:r>
              <w:t>4–6</w:t>
            </w:r>
          </w:p>
        </w:tc>
        <w:tc>
          <w:tcPr>
            <w:tcW w:type="dxa" w:w="2280"/>
          </w:tcPr>
          <w:p>
            <w:r>
              <w:t>75%</w:t>
            </w:r>
          </w:p>
        </w:tc>
        <w:tc>
          <w:tcPr>
            <w:tcW w:type="dxa" w:w="2280"/>
          </w:tcPr>
          <w:p>
            <w:r>
              <w:t>25%</w:t>
            </w:r>
          </w:p>
        </w:tc>
      </w:tr>
      <w:tr>
        <w:tc>
          <w:tcPr>
            <w:tcW w:type="dxa" w:w="2280"/>
          </w:tcPr>
          <w:p>
            <w:r>
              <w:t>Senior</w:t>
            </w:r>
          </w:p>
        </w:tc>
        <w:tc>
          <w:tcPr>
            <w:tcW w:type="dxa" w:w="2280"/>
          </w:tcPr>
          <w:p>
            <w:r>
              <w:t>7–9</w:t>
            </w:r>
          </w:p>
        </w:tc>
        <w:tc>
          <w:tcPr>
            <w:tcW w:type="dxa" w:w="2280"/>
          </w:tcPr>
          <w:p>
            <w:r>
              <w:t>60%</w:t>
            </w:r>
          </w:p>
        </w:tc>
        <w:tc>
          <w:tcPr>
            <w:tcW w:type="dxa" w:w="2280"/>
          </w:tcPr>
          <w:p>
            <w:r>
              <w:t>40%</w:t>
            </w:r>
          </w:p>
        </w:tc>
      </w:tr>
      <w:tr>
        <w:tc>
          <w:tcPr>
            <w:tcW w:type="dxa" w:w="2280"/>
          </w:tcPr>
          <w:p>
            <w:r>
              <w:t>FET Gr10–11</w:t>
            </w:r>
          </w:p>
        </w:tc>
        <w:tc>
          <w:tcPr>
            <w:tcW w:type="dxa" w:w="2280"/>
          </w:tcPr>
          <w:p>
            <w:r>
              <w:t>10–11</w:t>
            </w:r>
          </w:p>
        </w:tc>
        <w:tc>
          <w:tcPr>
            <w:tcW w:type="dxa" w:w="2280"/>
          </w:tcPr>
          <w:p>
            <w:r>
              <w:t>40%</w:t>
            </w:r>
          </w:p>
        </w:tc>
        <w:tc>
          <w:tcPr>
            <w:tcW w:type="dxa" w:w="2280"/>
          </w:tcPr>
          <w:p>
            <w:r>
              <w:t>60%</w:t>
            </w:r>
          </w:p>
        </w:tc>
      </w:tr>
      <w:tr>
        <w:tc>
          <w:tcPr>
            <w:tcW w:type="dxa" w:w="2280"/>
          </w:tcPr>
          <w:p>
            <w:r>
              <w:t>FET Gr12</w:t>
            </w:r>
          </w:p>
        </w:tc>
        <w:tc>
          <w:tcPr>
            <w:tcW w:type="dxa" w:w="2280"/>
          </w:tcPr>
          <w:p>
            <w:r>
              <w:t>12</w:t>
            </w:r>
          </w:p>
        </w:tc>
        <w:tc>
          <w:tcPr>
            <w:tcW w:type="dxa" w:w="2280"/>
          </w:tcPr>
          <w:p>
            <w:r>
              <w:t>25%</w:t>
            </w:r>
          </w:p>
        </w:tc>
        <w:tc>
          <w:tcPr>
            <w:tcW w:type="dxa" w:w="2280"/>
          </w:tcPr>
          <w:p>
            <w:r>
              <w:t>75%</w:t>
            </w:r>
          </w:p>
        </w:tc>
      </w:tr>
    </w:tbl>
    <w:p/>
    <w:p>
      <w:r>
        <w:t>Load-Shedding Resilience: PWA with offline caching. Teachers can capture attendance and marks without internet — data syncs on reconnect.</w:t>
      </w:r>
    </w:p>
    <w:p>
      <w:r>
        <w:t>SA-SAMS Compatible: One-click LURITS/EMIS export removes the double-capture burden for SA public schools.</w:t>
      </w:r>
    </w:p>
    <w:p>
      <w:r>
        <w:rPr>
          <w:color w:val="D1D5D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5803D"/>
        </w:rPr>
        <w:t>Documentation</w:t>
      </w:r>
    </w:p>
    <w:p>
      <w:pPr>
        <w:pStyle w:val="ListBullet"/>
        <w:ind w:left="0"/>
      </w:pPr>
      <w:r>
        <w:t>Project Plan — 10-week build plan to pilot launch</w:t>
      </w:r>
    </w:p>
    <w:p>
      <w:pPr>
        <w:pStyle w:val="ListBullet"/>
        <w:ind w:left="0"/>
      </w:pPr>
      <w:r>
        <w:t>Database Design — ERD, RLS policies, calculation logic</w:t>
      </w:r>
    </w:p>
    <w:p>
      <w:r>
        <w:rPr>
          <w:color w:val="D1D5D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5803D"/>
        </w:rPr>
        <w:t>Pilot Launch</w:t>
      </w:r>
    </w:p>
    <w:p>
      <w:r>
        <w:t>Target: 2 August 2026 — 3 pilot schools including Hartrog Academy</w:t>
      </w:r>
    </w:p>
    <w:p>
      <w:r>
        <w:rPr>
          <w:color w:val="D1D5D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Built with Claude Code | Dr. B.A. Tau | 2026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