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Arial" w:cs="Arial" w:eastAsia="Arial" w:hAnsi="Arial"/>
          <w:b/>
          <w:bCs/>
          <w:sz w:val="56"/>
          <w:szCs w:val="56"/>
        </w:rPr>
        <w:t xml:space="preserve">OPEN MEGA-DRIVE</w:t>
      </w:r>
    </w:p>
    <w:p>
      <w:pPr>
        <w:spacing w:before="200"/>
      </w:pPr>
    </w:p>
    <w:p>
      <w:pPr>
        <w:jc w:val="center"/>
      </w:pPr>
      <w:r>
        <w:rPr>
          <w:rFonts w:ascii="Arial" w:cs="Arial" w:eastAsia="Arial" w:hAnsi="Arial"/>
          <w:i/>
          <w:iCs/>
          <w:sz w:val="28"/>
          <w:szCs w:val="28"/>
        </w:rPr>
        <w:t xml:space="preserve">A Shared Architecture for the Post-Scaling Era</w:t>
      </w:r>
    </w:p>
    <w:p>
      <w:pPr>
        <w:spacing w:before="100"/>
      </w:pPr>
    </w:p>
    <w:p>
      <w:pPr>
        <w:jc w:val="center"/>
      </w:pPr>
      <w:r>
        <w:rPr>
          <w:rFonts w:ascii="Arial" w:cs="Arial" w:eastAsia="Arial" w:hAnsi="Arial"/>
          <w:color w:val="444444"/>
          <w:sz w:val="22"/>
          <w:szCs w:val="22"/>
        </w:rPr>
        <w:t xml:space="preserve">Proposal for an Open Standard to Solve the Universal Failure Modes of Ultra-Class Machinery</w:t>
      </w:r>
    </w:p>
    <w:p>
      <w:pPr>
        <w:spacing w:before="500"/>
      </w:pPr>
    </w:p>
    <w:p>
      <w:pPr>
        <w:jc w:val="center"/>
      </w:pPr>
      <w:r>
        <w:rPr>
          <w:rFonts w:ascii="Arial" w:cs="Arial" w:eastAsia="Arial" w:hAnsi="Arial"/>
          <w:sz w:val="22"/>
          <w:szCs w:val="22"/>
        </w:rPr>
        <w:t xml:space="preserve">Version 2.1 — January 2026</w:t>
      </w:r>
    </w:p>
    <w:p>
      <w:pPr>
        <w:spacing w:before="600"/>
      </w:pPr>
    </w:p>
    <w:p>
      <w:pPr>
        <w:jc w:val="center"/>
      </w:pPr>
      <w:r>
        <w:rPr>
          <w:rFonts w:ascii="Arial" w:cs="Arial" w:eastAsia="Arial" w:hAnsi="Arial"/>
          <w:b/>
          <w:bCs/>
          <w:sz w:val="26"/>
          <w:szCs w:val="26"/>
        </w:rPr>
        <w:t xml:space="preserve">Aaron Garcia</w:t>
      </w:r>
    </w:p>
    <w:p>
      <w:pPr>
        <w:jc w:val="center"/>
      </w:pPr>
      <w:r>
        <w:rPr>
          <w:rFonts w:ascii="Arial" w:cs="Arial" w:eastAsia="Arial" w:hAnsi="Arial"/>
          <w:sz w:val="22"/>
          <w:szCs w:val="22"/>
        </w:rPr>
        <w:t xml:space="preserve">Independent Researcher</w:t>
      </w:r>
    </w:p>
    <w:p>
      <w:pPr>
        <w:jc w:val="center"/>
      </w:pPr>
      <w:r>
        <w:rPr>
          <w:rFonts w:ascii="Arial" w:cs="Arial" w:eastAsia="Arial" w:hAnsi="Arial"/>
          <w:sz w:val="22"/>
          <w:szCs w:val="22"/>
        </w:rPr>
        <w:t xml:space="preserve">aaron@garcia.ltd</w:t>
      </w:r>
    </w:p>
    <w:p>
      <w:pPr>
        <w:spacing w:before="500"/>
      </w:pPr>
    </w:p>
    <w:p>
      <w:pPr>
        <w:jc w:val="center"/>
      </w:pPr>
      <w:r>
        <w:rPr>
          <w:rFonts w:ascii="Arial" w:cs="Arial" w:eastAsia="Arial" w:hAnsi="Arial"/>
          <w:i/>
          <w:iCs/>
          <w:color w:val="555555"/>
          <w:sz w:val="20"/>
          <w:szCs w:val="20"/>
        </w:rPr>
        <w:t xml:space="preserve">Released under Creative Commons Attribution-ShareAlike 4.0 International (CC-BY-SA)</w:t>
      </w:r>
    </w:p>
    <w:p>
      <w:r>
        <w:br w:type="page"/>
      </w:r>
    </w:p>
    <w:p>
      <w:pPr>
        <w:pStyle w:val="Heading1"/>
        <w:spacing w:before="400" w:after="200"/>
      </w:pPr>
      <w:r>
        <w:rPr>
          <w:rFonts w:ascii="Arial" w:cs="Arial" w:eastAsia="Arial" w:hAnsi="Arial"/>
          <w:b/>
          <w:bCs/>
          <w:sz w:val="28"/>
          <w:szCs w:val="28"/>
        </w:rPr>
        <w:t xml:space="preserve">Abstract</w:t>
      </w:r>
    </w:p>
    <w:p>
      <w:pPr>
        <w:spacing w:before="120" w:after="120"/>
      </w:pPr>
      <w:r>
        <w:rPr>
          <w:rFonts w:ascii="Arial" w:cs="Arial" w:eastAsia="Arial" w:hAnsi="Arial"/>
          <w:sz w:val="22"/>
          <w:szCs w:val="22"/>
        </w:rPr>
        <w:t xml:space="preserve">The era of scaling industrial machinery through brute-force mechanical engineering has reached its physical limits. As machines scale beyond 10,000 tonnes and 15 MW, a universal failure mode has emerged across every major industrial sector: rigid mechanical interfaces cannot sustain the exponential increase in shock loads, thermal stress, and torque density. Analysis of over 120 ultra-class machines reveals that bearing failures account for 50–76% of gearbox failures across wind turbines, mining excavators, tunnel boring machines, and marine propulsion systems—regardless of manufacturer, application, or geography.</w:t>
      </w:r>
    </w:p>
    <w:p>
      <w:pPr>
        <w:spacing w:before="120" w:after="120"/>
      </w:pPr>
      <w:r>
        <w:rPr>
          <w:rFonts w:ascii="Arial" w:cs="Arial" w:eastAsia="Arial" w:hAnsi="Arial"/>
          <w:sz w:val="22"/>
          <w:szCs w:val="22"/>
        </w:rPr>
        <w:t xml:space="preserve">This paper proposes the Open Mega-Drive Framework, an open-source architectural standard designed for collaborative development. By defining standardised hybrid drive topologies—combining magnetic gearing, hydrostatic systems, and cycloidal technologies—we aim to collectively de-risk the transition from rigid mechanical transmission to compliant, contactless systems. The framework addresses a combined total addressable market exceeding $150 billion annually across wind energy, mining equipment, marine propulsion, and infrastructure sectors.</w:t>
      </w:r>
    </w:p>
    <w:p>
      <w:pPr>
        <w:spacing w:before="120" w:after="120"/>
      </w:pPr>
      <w:r>
        <w:rPr>
          <w:rFonts w:ascii="Arial" w:cs="Arial" w:eastAsia="Arial" w:hAnsi="Arial"/>
          <w:b/>
          <w:bCs/>
          <w:sz w:val="22"/>
          <w:szCs w:val="22"/>
        </w:rPr>
        <w:t xml:space="preserve">Critical Limitation: </w:t>
      </w:r>
      <w:r>
        <w:rPr>
          <w:rFonts w:ascii="Arial" w:cs="Arial" w:eastAsia="Arial" w:hAnsi="Arial"/>
          <w:sz w:val="22"/>
          <w:szCs w:val="22"/>
        </w:rPr>
        <w:t xml:space="preserve">Current magnetic gearing technology remains at Technology Readiness Level 2–3 for ultra-class applications. The sector leader has demonstrated only 200,000 Nm after 18 years of development—representing a 100–735× gap versus the multi-million Newton-metre requirements for 15+ MW turbines or large tunnel boring machines. The scalability of magnetic gearing to these requirements is an engineering hypothesis, not a demonstrated fact.</w:t>
      </w:r>
    </w:p>
    <w:p>
      <w:pPr>
        <w:spacing w:before="120" w:after="120"/>
      </w:pPr>
      <w:r>
        <w:rPr>
          <w:rFonts w:ascii="Arial" w:cs="Arial" w:eastAsia="Arial" w:hAnsi="Arial"/>
          <w:sz w:val="22"/>
          <w:szCs w:val="22"/>
        </w:rPr>
        <w:t xml:space="preserve">No single organisation should bear this development burden alone. By declaring these topologies as open standards, we invite the global engineering community to collaborate on solving the reliability crisis facing the world's largest machines.</w:t>
      </w:r>
    </w:p>
    <w:p>
      <w:pPr>
        <w:pStyle w:val="Heading1"/>
        <w:spacing w:before="400" w:after="200"/>
      </w:pPr>
      <w:r>
        <w:rPr>
          <w:rFonts w:ascii="Arial" w:cs="Arial" w:eastAsia="Arial" w:hAnsi="Arial"/>
          <w:b/>
          <w:bCs/>
          <w:sz w:val="28"/>
          <w:szCs w:val="28"/>
        </w:rPr>
        <w:t xml:space="preserve">1. The Limit of Scale</w:t>
      </w:r>
    </w:p>
    <w:p>
      <w:pPr>
        <w:spacing w:before="120" w:after="120"/>
      </w:pPr>
      <w:r>
        <w:rPr>
          <w:rFonts w:ascii="Arial" w:cs="Arial" w:eastAsia="Arial" w:hAnsi="Arial"/>
          <w:sz w:val="22"/>
          <w:szCs w:val="22"/>
        </w:rPr>
        <w:t xml:space="preserve">For the past century, industrial capacity has been increased primarily by making machines larger. This strategy has produced remarkable engineering achievements that define the upper bounds of human mechanical construction.</w:t>
      </w:r>
    </w:p>
    <w:p>
      <w:pPr>
        <w:pStyle w:val="Heading2"/>
        <w:spacing w:before="300" w:after="150"/>
      </w:pPr>
      <w:r>
        <w:rPr>
          <w:rFonts w:ascii="Arial" w:cs="Arial" w:eastAsia="Arial" w:hAnsi="Arial"/>
          <w:b/>
          <w:bCs/>
          <w:sz w:val="24"/>
          <w:szCs w:val="24"/>
        </w:rPr>
        <w:t xml:space="preserve">1.1 The Giants of Industry</w:t>
      </w:r>
    </w:p>
    <w:p>
      <w:pPr>
        <w:spacing w:before="120" w:after="120"/>
      </w:pPr>
      <w:r>
        <w:rPr>
          <w:rFonts w:ascii="Arial" w:cs="Arial" w:eastAsia="Arial" w:hAnsi="Arial"/>
          <w:sz w:val="22"/>
          <w:szCs w:val="22"/>
        </w:rPr>
        <w:t xml:space="preserve">The Bagger 293 bucket wheel excavator, weighing 14,200 tonnes and consuming 16.56 MW continuously, remains the heaviest land vehicle ever constructed. The Prelude FLNG facility displaces 600,000 tonnes—equivalent to six Nimitz-class aircraft carriers—representing the extreme of maritime mass. Aluminium Bahrain (Alba) draws 4,200 MW of continuous power, approaching the output of large power stations.</w:t>
      </w:r>
    </w:p>
    <w:p>
      <w:pPr>
        <w:spacing w:before="120" w:after="120"/>
      </w:pPr>
      <w:r>
        <w:rPr>
          <w:rFonts w:ascii="Arial" w:cs="Arial" w:eastAsia="Arial" w:hAnsi="Arial"/>
          <w:sz w:val="22"/>
          <w:szCs w:val="22"/>
        </w:rPr>
        <w:t xml:space="preserve">In tunnelling, machines like the 17.45-metre Bertha TBM consumed 22 MW of installed power while generating 147,000 kNm of torque through 24 cutterhead motors. Wind turbines have scaled from kilowatt-class machines in the 1980s to Siemens Gamesa's 21 MW direct-drive prototype entering testing in December 2024. The Icon of the Seas cruise ship carries propulsion systems exceeding 80 MW.</w:t>
      </w:r>
    </w:p>
    <w:p>
      <w:pPr>
        <w:pStyle w:val="Heading2"/>
        <w:spacing w:before="300" w:after="150"/>
      </w:pPr>
      <w:r>
        <w:rPr>
          <w:rFonts w:ascii="Arial" w:cs="Arial" w:eastAsia="Arial" w:hAnsi="Arial"/>
          <w:b/>
          <w:bCs/>
          <w:sz w:val="24"/>
          <w:szCs w:val="24"/>
        </w:rPr>
        <w:t xml:space="preserve">1.2 The Reliability Wall</w:t>
      </w:r>
    </w:p>
    <w:p>
      <w:pPr>
        <w:spacing w:before="120" w:after="120"/>
      </w:pPr>
      <w:r>
        <w:rPr>
          <w:rFonts w:ascii="Arial" w:cs="Arial" w:eastAsia="Arial" w:hAnsi="Arial"/>
          <w:sz w:val="22"/>
          <w:szCs w:val="22"/>
        </w:rPr>
        <w:t xml:space="preserve">This scaling trajectory has hit a fundamental barrier. As physical dimensions grow, mass and complexity scale non-linearly. The sheer inertia of these machines creates internal stresses that conventional steel gears can no longer manage reliably. We are not limited by power generation capacity—we are limited by power transmission reliability.</w:t>
      </w:r>
    </w:p>
    <w:p>
      <w:pPr>
        <w:spacing w:before="120" w:after="120"/>
      </w:pPr>
      <w:r>
        <w:rPr>
          <w:rFonts w:ascii="Arial" w:cs="Arial" w:eastAsia="Arial" w:hAnsi="Arial"/>
          <w:sz w:val="22"/>
          <w:szCs w:val="22"/>
        </w:rPr>
        <w:t xml:space="preserve">The industry faces a collective crisis that transcends individual manufacturers or applications. The problem is not insufficient engineering skill or inadequate materials. The problem is physics: rigid steel gears are fundamentally too brittle for the gigawatt-scale era. The 'Year-10 Drop' phenomenon in wind turbines—where efficiency declines 1.23% annually after year 10—represents the systematic degradation of mechanical interfaces under sustained high-power operation.</w:t>
      </w:r>
    </w:p>
    <w:p>
      <w:pPr>
        <w:pStyle w:val="Heading1"/>
        <w:spacing w:before="400" w:after="200"/>
      </w:pPr>
      <w:r>
        <w:rPr>
          <w:rFonts w:ascii="Arial" w:cs="Arial" w:eastAsia="Arial" w:hAnsi="Arial"/>
          <w:b/>
          <w:bCs/>
          <w:sz w:val="28"/>
          <w:szCs w:val="28"/>
        </w:rPr>
        <w:t xml:space="preserve">2. The Shared Enemy: Universal Mechanical Failure</w:t>
      </w:r>
    </w:p>
    <w:p>
      <w:pPr>
        <w:spacing w:before="120" w:after="120"/>
      </w:pPr>
      <w:r>
        <w:rPr>
          <w:rFonts w:ascii="Arial" w:cs="Arial" w:eastAsia="Arial" w:hAnsi="Arial"/>
          <w:sz w:val="22"/>
          <w:szCs w:val="22"/>
        </w:rPr>
        <w:t xml:space="preserve">Analysis of over 120 ultra-class machines reveals that regardless of the sector—mining, energy, marine, or infrastructure—the point of failure is remarkably consistent: the mechanical bearing and gear interface.</w:t>
      </w:r>
    </w:p>
    <w:p>
      <w:pPr>
        <w:pStyle w:val="Heading2"/>
        <w:spacing w:before="300" w:after="150"/>
      </w:pPr>
      <w:r>
        <w:rPr>
          <w:rFonts w:ascii="Arial" w:cs="Arial" w:eastAsia="Arial" w:hAnsi="Arial"/>
          <w:b/>
          <w:bCs/>
          <w:sz w:val="24"/>
          <w:szCs w:val="24"/>
        </w:rPr>
        <w:t xml:space="preserve">2.1 The Bearing Bottleneck</w:t>
      </w:r>
    </w:p>
    <w:p>
      <w:pPr>
        <w:spacing w:before="120" w:after="120"/>
      </w:pPr>
      <w:r>
        <w:rPr>
          <w:rFonts w:ascii="Arial" w:cs="Arial" w:eastAsia="Arial" w:hAnsi="Arial"/>
          <w:sz w:val="22"/>
          <w:szCs w:val="22"/>
        </w:rPr>
        <w:t xml:space="preserve">Bearing failures account for 50–76% of gearbox failures across all major ultra-class machinery categories. This is not a manufacturing defect or maintenance failure—it is a fundamental limitation of contact mechanics at extreme scales.</w:t>
      </w:r>
    </w:p>
    <w:p>
      <w:pPr>
        <w:spacing w:before="120" w:after="120"/>
      </w:pPr>
      <w:r>
        <w:rPr>
          <w:rFonts w:ascii="Arial" w:cs="Arial" w:eastAsia="Arial" w:hAnsi="Arial"/>
          <w:b/>
          <w:bCs/>
          <w:sz w:val="22"/>
          <w:szCs w:val="22"/>
        </w:rPr>
        <w:t xml:space="preserve">Wind Energy: </w:t>
      </w:r>
      <w:r>
        <w:rPr>
          <w:rFonts w:ascii="Arial" w:cs="Arial" w:eastAsia="Arial" w:hAnsi="Arial"/>
          <w:sz w:val="22"/>
          <w:szCs w:val="22"/>
        </w:rPr>
        <w:t xml:space="preserve">In 15+ MW offshore turbines, 76% of gearbox failures originate in bearings due to 'white-etch cracking'—a metallurgical phenomenon where hydrogen diffuses into bearing races under cyclic loading. Some offshore projects have experienced 50% failure rates shortly after commissioning. Gearbox failures average 14 days of downtime per incident, with major replacements costing €230,000 or more.</w:t>
      </w:r>
    </w:p>
    <w:p>
      <w:pPr>
        <w:spacing w:before="120" w:after="120"/>
      </w:pPr>
      <w:r>
        <w:rPr>
          <w:rFonts w:ascii="Arial" w:cs="Arial" w:eastAsia="Arial" w:hAnsi="Arial"/>
          <w:b/>
          <w:bCs/>
          <w:sz w:val="22"/>
          <w:szCs w:val="22"/>
        </w:rPr>
        <w:t xml:space="preserve">Subsurface Infrastructure: </w:t>
      </w:r>
      <w:r>
        <w:rPr>
          <w:rFonts w:ascii="Arial" w:cs="Arial" w:eastAsia="Arial" w:hAnsi="Arial"/>
          <w:sz w:val="22"/>
          <w:szCs w:val="22"/>
        </w:rPr>
        <w:t xml:space="preserve">The Bertha TBM (17.45-metre diameter) suffered a two-year shutdown due to a single main bearing seal failure. In rigid 'pinion-to-ring' drive architectures, slight misalignments force single pinions to bear disproportionate loads, leading to cascading drive system collapse. Project delays cost over $1 million per day—Bertha's breakdown generated cost overruns exceeding the machine's initial $80 million price.</w:t>
      </w:r>
    </w:p>
    <w:p>
      <w:pPr>
        <w:spacing w:before="120" w:after="120"/>
      </w:pPr>
      <w:r>
        <w:rPr>
          <w:rFonts w:ascii="Arial" w:cs="Arial" w:eastAsia="Arial" w:hAnsi="Arial"/>
          <w:b/>
          <w:bCs/>
          <w:sz w:val="22"/>
          <w:szCs w:val="22"/>
        </w:rPr>
        <w:t xml:space="preserve">Surface Mining: </w:t>
      </w:r>
      <w:r>
        <w:rPr>
          <w:rFonts w:ascii="Arial" w:cs="Arial" w:eastAsia="Arial" w:hAnsi="Arial"/>
          <w:sz w:val="22"/>
          <w:szCs w:val="22"/>
        </w:rPr>
        <w:t xml:space="preserve">Dragline excavators frequently strip gear teeth because rigid gear trains cannot absorb the shock loads generated when a 100-tonne bucket impacts rock during swing operations. Ultra-class truck operating costs exceed $1 million annually, with unplanned maintenance exceeding $1,000 per hour in downtime costs.</w:t>
      </w:r>
    </w:p>
    <w:p>
      <w:pPr>
        <w:spacing w:before="120" w:after="120"/>
      </w:pPr>
      <w:r>
        <w:rPr>
          <w:rFonts w:ascii="Arial" w:cs="Arial" w:eastAsia="Arial" w:hAnsi="Arial"/>
          <w:b/>
          <w:bCs/>
          <w:sz w:val="22"/>
          <w:szCs w:val="22"/>
        </w:rPr>
        <w:t xml:space="preserve">Marine Propulsion: </w:t>
      </w:r>
      <w:r>
        <w:rPr>
          <w:rFonts w:ascii="Arial" w:cs="Arial" w:eastAsia="Arial" w:hAnsi="Arial"/>
          <w:sz w:val="22"/>
          <w:szCs w:val="22"/>
        </w:rPr>
        <w:t xml:space="preserve">Azipod propulsion systems have demonstrated vulnerability to bearing and exciter failures. Legal settlements exceeding $159 million for Norwegian Cruise Line alone highlight the reliability challenges facing marine propulsion at scale.</w:t>
      </w:r>
    </w:p>
    <w:p>
      <w:pPr>
        <w:pStyle w:val="Heading2"/>
        <w:spacing w:before="300" w:after="150"/>
      </w:pPr>
      <w:r>
        <w:rPr>
          <w:rFonts w:ascii="Arial" w:cs="Arial" w:eastAsia="Arial" w:hAnsi="Arial"/>
          <w:b/>
          <w:bCs/>
          <w:sz w:val="24"/>
          <w:szCs w:val="24"/>
        </w:rPr>
        <w:t xml:space="preserve">2.2 The Systemic Pattern</w:t>
      </w:r>
    </w:p>
    <w:p>
      <w:pPr>
        <w:spacing w:before="120" w:after="120"/>
      </w:pPr>
      <w:r>
        <w:rPr>
          <w:rFonts w:ascii="Arial" w:cs="Arial" w:eastAsia="Arial" w:hAnsi="Arial"/>
          <w:sz w:val="22"/>
          <w:szCs w:val="22"/>
        </w:rPr>
        <w:t xml:space="preserve">The consistent thread across all sectors is that rigid mechanical interfaces cannot accommodate the dynamic loading conditions of ultra-class operation. Whether the shock comes from wind gusts, rock impacts, propeller cavitation, or cutterhead jamming, the result is the same: concentrated stress on bearing surfaces leading to premature failure.</w:t>
      </w:r>
    </w:p>
    <w:p>
      <w:pPr>
        <w:spacing w:before="120" w:after="120"/>
      </w:pPr>
      <w:r>
        <w:rPr>
          <w:rFonts w:ascii="Arial" w:cs="Arial" w:eastAsia="Arial" w:hAnsi="Arial"/>
          <w:sz w:val="22"/>
          <w:szCs w:val="22"/>
        </w:rPr>
        <w:t xml:space="preserve">This is not a problem that can be solved by better materials or tighter tolerances alone. It is a fundamental limitation of contact mechanics. The solution requires removing the contact entirely—replacing rigid mechanical coupling with compliant, non-contact transmission.</w:t>
      </w:r>
    </w:p>
    <w:p>
      <w:pPr>
        <w:pStyle w:val="Heading2"/>
        <w:spacing w:before="300" w:after="150"/>
      </w:pPr>
      <w:r>
        <w:rPr>
          <w:rFonts w:ascii="Arial" w:cs="Arial" w:eastAsia="Arial" w:hAnsi="Arial"/>
          <w:b/>
          <w:bCs/>
          <w:sz w:val="24"/>
          <w:szCs w:val="24"/>
        </w:rPr>
        <w:t xml:space="preserve">2.3 What Magnetic Gearing Does (and Does Not) Change</w:t>
      </w:r>
    </w:p>
    <w:p>
      <w:pPr>
        <w:spacing w:before="120" w:after="120"/>
      </w:pPr>
      <w:r>
        <w:rPr>
          <w:rFonts w:ascii="Arial" w:cs="Arial" w:eastAsia="Arial" w:hAnsi="Arial"/>
          <w:sz w:val="22"/>
          <w:szCs w:val="22"/>
        </w:rPr>
        <w:t xml:space="preserve">A common misconception is that magnetic gearing creates a 'contactless drivetrain.' This is false. The following comparison clarifies: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Mechanical Gearbox</w:t>
            </w:r>
          </w:p>
        </w:tc>
        <w:tc>
          <w:tcPr>
            <w:tcW w:type="dxa" w:w="22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Magnetic Gear</w:t>
            </w:r>
          </w:p>
        </w:tc>
        <w:tc>
          <w:tcPr>
            <w:tcW w:type="dxa" w:w="216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Change</w:t>
            </w:r>
          </w:p>
        </w:tc>
      </w:tr>
      <w:tr>
        <w:tc>
          <w:tcPr>
            <w:tcW w:type="dxa" w:w="28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Input shaft bearings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w:t>
            </w:r>
          </w:p>
        </w:tc>
        <w:tc>
          <w:tcPr>
            <w:tcW w:type="dxa" w:w="21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Same</w:t>
            </w:r>
          </w:p>
        </w:tc>
      </w:tr>
      <w:tr>
        <w:tc>
          <w:tcPr>
            <w:tcW w:type="dxa" w:w="28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Output shaft bearings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w:t>
            </w:r>
          </w:p>
        </w:tc>
        <w:tc>
          <w:tcPr>
            <w:tcW w:type="dxa" w:w="21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Same</w:t>
            </w:r>
          </w:p>
        </w:tc>
      </w:tr>
      <w:tr>
        <w:tc>
          <w:tcPr>
            <w:tcW w:type="dxa" w:w="28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Intermediate shaft bearings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2-6 (planetary stages)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0</w:t>
            </w:r>
          </w:p>
        </w:tc>
        <w:tc>
          <w:tcPr>
            <w:tcW w:type="dxa" w:w="21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Eliminated</w:t>
            </w:r>
          </w:p>
        </w:tc>
      </w:tr>
      <w:tr>
        <w:tc>
          <w:tcPr>
            <w:tcW w:type="dxa" w:w="28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Modulator bearings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0</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2-4</w:t>
            </w:r>
          </w:p>
        </w:tc>
        <w:tc>
          <w:tcPr>
            <w:tcW w:type="dxa" w:w="21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Added</w:t>
            </w:r>
          </w:p>
        </w:tc>
      </w:tr>
      <w:tr>
        <w:tc>
          <w:tcPr>
            <w:tcW w:type="dxa" w:w="28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Gear mesh contact points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Multiple (high load)</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Zero</w:t>
            </w:r>
          </w:p>
        </w:tc>
        <w:tc>
          <w:tcPr>
            <w:tcW w:type="dxa" w:w="21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Eliminated</w:t>
            </w:r>
          </w:p>
        </w:tc>
      </w:tr>
      <w:tr>
        <w:tc>
          <w:tcPr>
            <w:tcW w:type="dxa" w:w="28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Total bearings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6-10</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6-8</w:t>
            </w:r>
          </w:p>
        </w:tc>
        <w:tc>
          <w:tcPr>
            <w:tcW w:type="dxa" w:w="21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Similar</w:t>
            </w:r>
          </w:p>
        </w:tc>
      </w:tr>
    </w:tbl>
    <w:p>
      <w:pPr>
        <w:spacing w:before="80" w:after="160"/>
        <w:jc w:val="center"/>
      </w:pPr>
      <w:r>
        <w:rPr>
          <w:rFonts w:ascii="Arial" w:cs="Arial" w:eastAsia="Arial" w:hAnsi="Arial"/>
          <w:i/>
          <w:iCs/>
          <w:color w:val="555555"/>
          <w:sz w:val="20"/>
          <w:szCs w:val="20"/>
        </w:rPr>
        <w:t xml:space="preserve">Table 1: Bearing Count Comparison — Magnetic Gearing Does Not Eliminate Bearings</w:t>
      </w:r>
    </w:p>
    <w:p>
      <w:pPr>
        <w:spacing w:before="120" w:after="120"/>
      </w:pPr>
      <w:r>
        <w:rPr>
          <w:rFonts w:ascii="Arial" w:cs="Arial" w:eastAsia="Arial" w:hAnsi="Arial"/>
          <w:b/>
          <w:bCs/>
          <w:sz w:val="22"/>
          <w:szCs w:val="22"/>
        </w:rPr>
        <w:t xml:space="preserve">The actual hypothesis: </w:t>
      </w:r>
      <w:r>
        <w:rPr>
          <w:rFonts w:ascii="Arial" w:cs="Arial" w:eastAsia="Arial" w:hAnsi="Arial"/>
          <w:sz w:val="22"/>
          <w:szCs w:val="22"/>
        </w:rPr>
        <w:t xml:space="preserve">Eliminating gear-mesh contact removes the primary high-load failure pathway. Remaining bearings operate under different (potentially lower) loading conditions. Net reliability improvement is the research question—not an assumed outcome.</w:t>
      </w:r>
    </w:p>
    <w:p>
      <w:pPr>
        <w:pStyle w:val="Heading2"/>
        <w:spacing w:before="300" w:after="150"/>
      </w:pPr>
      <w:r>
        <w:rPr>
          <w:rFonts w:ascii="Arial" w:cs="Arial" w:eastAsia="Arial" w:hAnsi="Arial"/>
          <w:b/>
          <w:bCs/>
          <w:sz w:val="24"/>
          <w:szCs w:val="24"/>
        </w:rPr>
        <w:t xml:space="preserve">2.4 Alternative Mitigation Strategies</w:t>
      </w:r>
    </w:p>
    <w:p>
      <w:pPr>
        <w:spacing w:before="120" w:after="120"/>
      </w:pPr>
      <w:r>
        <w:rPr>
          <w:rFonts w:ascii="Arial" w:cs="Arial" w:eastAsia="Arial" w:hAnsi="Arial"/>
          <w:sz w:val="22"/>
          <w:szCs w:val="22"/>
        </w:rPr>
        <w:t xml:space="preserve">The Open Mega-Drive Framework is not the only approach to addressing mechanical reliability. Current strategies include:</w:t>
      </w:r>
    </w:p>
    <w:p>
      <w:pPr>
        <w:pStyle w:val="ListParagraph"/>
        <w:numPr>
          <w:ilvl w:val="0"/>
          <w:numId w:val="2"/>
        </w:numPr>
        <w:spacing w:before="60" w:after="60"/>
      </w:pPr>
      <w:r>
        <w:rPr>
          <w:rFonts w:ascii="Arial" w:cs="Arial" w:eastAsia="Arial" w:hAnsi="Arial"/>
          <w:b/>
          <w:bCs/>
          <w:sz w:val="22"/>
          <w:szCs w:val="22"/>
        </w:rPr>
        <w:t xml:space="preserve">Improved bearing metallurgy: </w:t>
      </w:r>
      <w:r>
        <w:rPr>
          <w:rFonts w:ascii="Arial" w:cs="Arial" w:eastAsia="Arial" w:hAnsi="Arial"/>
          <w:sz w:val="22"/>
          <w:szCs w:val="22"/>
        </w:rPr>
        <w:t xml:space="preserve">Reduced white-etch cracking through materials science advances</w:t>
      </w:r>
    </w:p>
    <w:p>
      <w:pPr>
        <w:pStyle w:val="ListParagraph"/>
        <w:numPr>
          <w:ilvl w:val="0"/>
          <w:numId w:val="2"/>
        </w:numPr>
        <w:spacing w:before="60" w:after="60"/>
      </w:pPr>
      <w:r>
        <w:rPr>
          <w:rFonts w:ascii="Arial" w:cs="Arial" w:eastAsia="Arial" w:hAnsi="Arial"/>
          <w:b/>
          <w:bCs/>
          <w:sz w:val="22"/>
          <w:szCs w:val="22"/>
        </w:rPr>
        <w:t xml:space="preserve">Enhanced predictive maintenance: </w:t>
      </w:r>
      <w:r>
        <w:rPr>
          <w:rFonts w:ascii="Arial" w:cs="Arial" w:eastAsia="Arial" w:hAnsi="Arial"/>
          <w:sz w:val="22"/>
          <w:szCs w:val="22"/>
        </w:rPr>
        <w:t xml:space="preserve">Vibration analysis, oil debris monitoring, condition-based maintenance</w:t>
      </w:r>
    </w:p>
    <w:p>
      <w:pPr>
        <w:pStyle w:val="ListParagraph"/>
        <w:numPr>
          <w:ilvl w:val="0"/>
          <w:numId w:val="2"/>
        </w:numPr>
        <w:spacing w:before="60" w:after="60"/>
      </w:pPr>
      <w:r>
        <w:rPr>
          <w:rFonts w:ascii="Arial" w:cs="Arial" w:eastAsia="Arial" w:hAnsi="Arial"/>
          <w:b/>
          <w:bCs/>
          <w:sz w:val="22"/>
          <w:szCs w:val="22"/>
        </w:rPr>
        <w:t xml:space="preserve">Design derating: </w:t>
      </w:r>
      <w:r>
        <w:rPr>
          <w:rFonts w:ascii="Arial" w:cs="Arial" w:eastAsia="Arial" w:hAnsi="Arial"/>
          <w:sz w:val="22"/>
          <w:szCs w:val="22"/>
        </w:rPr>
        <w:t xml:space="preserve">Operating below theoretical maximums to extend component life</w:t>
      </w:r>
    </w:p>
    <w:p>
      <w:pPr>
        <w:pStyle w:val="ListParagraph"/>
        <w:numPr>
          <w:ilvl w:val="0"/>
          <w:numId w:val="2"/>
        </w:numPr>
        <w:spacing w:before="60" w:after="60"/>
      </w:pPr>
      <w:r>
        <w:rPr>
          <w:rFonts w:ascii="Arial" w:cs="Arial" w:eastAsia="Arial" w:hAnsi="Arial"/>
          <w:b/>
          <w:bCs/>
          <w:sz w:val="22"/>
          <w:szCs w:val="22"/>
        </w:rPr>
        <w:t xml:space="preserve">Direct-drive alternatives: </w:t>
      </w:r>
      <w:r>
        <w:rPr>
          <w:rFonts w:ascii="Arial" w:cs="Arial" w:eastAsia="Arial" w:hAnsi="Arial"/>
          <w:sz w:val="22"/>
          <w:szCs w:val="22"/>
        </w:rPr>
        <w:t xml:space="preserve">Proven at scale in offshore wind (Siemens Gamesa holds 75% market share outside China)</w:t>
      </w:r>
    </w:p>
    <w:p>
      <w:pPr>
        <w:spacing w:before="120" w:after="120"/>
      </w:pPr>
      <w:r>
        <w:rPr>
          <w:rFonts w:ascii="Arial" w:cs="Arial" w:eastAsia="Arial" w:hAnsi="Arial"/>
          <w:sz w:val="22"/>
          <w:szCs w:val="22"/>
        </w:rPr>
        <w:t xml:space="preserve">The framework proposes a complementary research pathway, not a replacement for these approaches. Operators should continue current reliability programmes while evaluating hybrid options as they mature.</w:t>
      </w:r>
    </w:p>
    <w:p>
      <w:r>
        <w:br w:type="page"/>
      </w:r>
    </w:p>
    <w:p>
      <w:pPr>
        <w:pStyle w:val="Heading1"/>
        <w:spacing w:before="400" w:after="200"/>
      </w:pPr>
      <w:r>
        <w:rPr>
          <w:rFonts w:ascii="Arial" w:cs="Arial" w:eastAsia="Arial" w:hAnsi="Arial"/>
          <w:b/>
          <w:bCs/>
          <w:sz w:val="28"/>
          <w:szCs w:val="28"/>
        </w:rPr>
        <w:t xml:space="preserve">3. The Open Mega-Drive Framework</w:t>
      </w:r>
    </w:p>
    <w:p>
      <w:pPr>
        <w:spacing w:before="120" w:after="120"/>
      </w:pPr>
      <w:r>
        <w:rPr>
          <w:rFonts w:ascii="Arial" w:cs="Arial" w:eastAsia="Arial" w:hAnsi="Arial"/>
          <w:sz w:val="22"/>
          <w:szCs w:val="22"/>
        </w:rPr>
        <w:t xml:space="preserve">To break the cycle of catastrophic mechanical failure, we propose the Open Mega-Drive Framework. This is not a product catalogue—it is an open architectural standard defined by specific topology codes. Each code represents a validated combination of technologies designed to solve a specific, universal failure mode in ultra-class machinery.</w:t>
      </w:r>
    </w:p>
    <w:p>
      <w:pPr>
        <w:spacing w:before="120" w:after="120"/>
      </w:pPr>
      <w:r>
        <w:rPr>
          <w:rFonts w:ascii="Arial" w:cs="Arial" w:eastAsia="Arial" w:hAnsi="Arial"/>
          <w:sz w:val="22"/>
          <w:szCs w:val="22"/>
        </w:rPr>
        <w:t xml:space="preserve">By standardising these topologies, we allow component manufacturers to build toward common interfaces, de-risking the transition from proven concepts to commercial scale. The framework enables interoperability between suppliers while preserving competitive differentiation in implementation quality, cost efficiency, and service delivery.</w:t>
      </w:r>
    </w:p>
    <w:p>
      <w:pPr>
        <w:pStyle w:val="Heading2"/>
        <w:spacing w:before="300" w:after="150"/>
      </w:pPr>
      <w:r>
        <w:rPr>
          <w:rFonts w:ascii="Arial" w:cs="Arial" w:eastAsia="Arial" w:hAnsi="Arial"/>
          <w:b/>
          <w:bCs/>
          <w:sz w:val="24"/>
          <w:szCs w:val="24"/>
        </w:rPr>
        <w:t xml:space="preserve">3.1 Code S: The Standard for Speed</w:t>
      </w:r>
    </w:p>
    <w:p>
      <w:pPr>
        <w:spacing w:before="120" w:after="120"/>
      </w:pPr>
      <w:r>
        <w:rPr>
          <w:rFonts w:ascii="Arial" w:cs="Arial" w:eastAsia="Arial" w:hAnsi="Arial"/>
          <w:b/>
          <w:bCs/>
          <w:sz w:val="22"/>
          <w:szCs w:val="22"/>
        </w:rPr>
        <w:t xml:space="preserve">Architecture: </w:t>
      </w:r>
      <w:r>
        <w:rPr>
          <w:rFonts w:ascii="Arial" w:cs="Arial" w:eastAsia="Arial" w:hAnsi="Arial"/>
          <w:sz w:val="22"/>
          <w:szCs w:val="22"/>
        </w:rPr>
        <w:t xml:space="preserve">Direct Electric Motor + Coaxial Magnetic Gear</w:t>
      </w:r>
    </w:p>
    <w:p>
      <w:pPr>
        <w:spacing w:before="120" w:after="120"/>
      </w:pPr>
      <w:r>
        <w:rPr>
          <w:rFonts w:ascii="Arial" w:cs="Arial" w:eastAsia="Arial" w:hAnsi="Arial"/>
          <w:b/>
          <w:bCs/>
          <w:sz w:val="22"/>
          <w:szCs w:val="22"/>
        </w:rPr>
        <w:t xml:space="preserve">Target Applications: </w:t>
      </w:r>
      <w:r>
        <w:rPr>
          <w:rFonts w:ascii="Arial" w:cs="Arial" w:eastAsia="Arial" w:hAnsi="Arial"/>
          <w:sz w:val="22"/>
          <w:szCs w:val="22"/>
        </w:rPr>
        <w:t xml:space="preserve">Offshore Wind Turbines (15+ MW), Marine Propulsion (20+ MW Azipods)</w:t>
      </w:r>
    </w:p>
    <w:p>
      <w:pPr>
        <w:spacing w:before="120" w:after="120"/>
      </w:pPr>
      <w:r>
        <w:rPr>
          <w:rFonts w:ascii="Arial" w:cs="Arial" w:eastAsia="Arial" w:hAnsi="Arial"/>
          <w:b/>
          <w:bCs/>
          <w:sz w:val="22"/>
          <w:szCs w:val="22"/>
        </w:rPr>
        <w:t xml:space="preserve">The Problem: </w:t>
      </w:r>
      <w:r>
        <w:rPr>
          <w:rFonts w:ascii="Arial" w:cs="Arial" w:eastAsia="Arial" w:hAnsi="Arial"/>
          <w:sz w:val="22"/>
          <w:szCs w:val="22"/>
        </w:rPr>
        <w:t xml:space="preserve">High-speed rotation in rigid gearboxes leads to bearing fatigue (white-etch cracking) and seal failures, accounting for 76% of wind turbine gearbox failures.</w:t>
      </w:r>
    </w:p>
    <w:p>
      <w:pPr>
        <w:spacing w:before="120" w:after="120"/>
      </w:pPr>
      <w:r>
        <w:rPr>
          <w:rFonts w:ascii="Arial" w:cs="Arial" w:eastAsia="Arial" w:hAnsi="Arial"/>
          <w:b/>
          <w:bCs/>
          <w:sz w:val="22"/>
          <w:szCs w:val="22"/>
        </w:rPr>
        <w:t xml:space="preserve">The Reference Design: </w:t>
      </w:r>
      <w:r>
        <w:rPr>
          <w:rFonts w:ascii="Arial" w:cs="Arial" w:eastAsia="Arial" w:hAnsi="Arial"/>
          <w:sz w:val="22"/>
          <w:szCs w:val="22"/>
        </w:rPr>
        <w:t xml:space="preserve">A high-speed electric motor coupled to a coaxial magnetic gear providing non-contact speed reduction. The magnetic stage acts as a 'virtual gearbox' with inherent overload protection via magnetic slip. The contactless output stage isolates the generator/motor from external disturbances—wind gusts, propeller vibrations, grid faults—directly addressing the bearing failure mode.</w:t>
      </w:r>
    </w:p>
    <w:p>
      <w:pPr>
        <w:spacing w:before="120" w:after="120"/>
      </w:pPr>
      <w:r>
        <w:rPr>
          <w:rFonts w:ascii="Arial" w:cs="Arial" w:eastAsia="Arial" w:hAnsi="Arial"/>
          <w:b/>
          <w:bCs/>
          <w:sz w:val="22"/>
          <w:szCs w:val="22"/>
        </w:rPr>
        <w:t xml:space="preserve">Open Benefit: </w:t>
      </w:r>
      <w:r>
        <w:rPr>
          <w:rFonts w:ascii="Arial" w:cs="Arial" w:eastAsia="Arial" w:hAnsi="Arial"/>
          <w:sz w:val="22"/>
          <w:szCs w:val="22"/>
        </w:rPr>
        <w:t xml:space="preserve">Eliminates lubrication systems entirely, removing the primary maintenance burden for offshore assets where heavy-lift vessel mobilisation adds substantial cost to any intervention.</w:t>
      </w:r>
    </w:p>
    <w:p>
      <w:pPr>
        <w:pStyle w:val="Heading2"/>
        <w:spacing w:before="300" w:after="150"/>
      </w:pPr>
      <w:r>
        <w:rPr>
          <w:rFonts w:ascii="Arial" w:cs="Arial" w:eastAsia="Arial" w:hAnsi="Arial"/>
          <w:b/>
          <w:bCs/>
          <w:sz w:val="24"/>
          <w:szCs w:val="24"/>
        </w:rPr>
        <w:t xml:space="preserve">3.2 Code J: The Standard for Torque</w:t>
      </w:r>
    </w:p>
    <w:p>
      <w:pPr>
        <w:spacing w:before="120" w:after="120"/>
      </w:pPr>
      <w:r>
        <w:rPr>
          <w:rFonts w:ascii="Arial" w:cs="Arial" w:eastAsia="Arial" w:hAnsi="Arial"/>
          <w:b/>
          <w:bCs/>
          <w:sz w:val="22"/>
          <w:szCs w:val="22"/>
        </w:rPr>
        <w:t xml:space="preserve">Architecture: </w:t>
      </w:r>
      <w:r>
        <w:rPr>
          <w:rFonts w:ascii="Arial" w:cs="Arial" w:eastAsia="Arial" w:hAnsi="Arial"/>
          <w:sz w:val="22"/>
          <w:szCs w:val="22"/>
        </w:rPr>
        <w:t xml:space="preserve">Cycloidal Reducer + Magnetic Input Stage</w:t>
      </w:r>
    </w:p>
    <w:p>
      <w:pPr>
        <w:spacing w:before="120" w:after="120"/>
      </w:pPr>
      <w:r>
        <w:rPr>
          <w:rFonts w:ascii="Arial" w:cs="Arial" w:eastAsia="Arial" w:hAnsi="Arial"/>
          <w:b/>
          <w:bCs/>
          <w:sz w:val="22"/>
          <w:szCs w:val="22"/>
        </w:rPr>
        <w:t xml:space="preserve">Target Applications: </w:t>
      </w:r>
      <w:r>
        <w:rPr>
          <w:rFonts w:ascii="Arial" w:cs="Arial" w:eastAsia="Arial" w:hAnsi="Arial"/>
          <w:sz w:val="22"/>
          <w:szCs w:val="22"/>
        </w:rPr>
        <w:t xml:space="preserve">Tunnel Boring Machine Cutterheads (5–22 MW), Industrial Crushing, High-Torque Conveyors</w:t>
      </w:r>
    </w:p>
    <w:p>
      <w:pPr>
        <w:spacing w:before="120" w:after="120"/>
      </w:pPr>
      <w:r>
        <w:rPr>
          <w:rFonts w:ascii="Arial" w:cs="Arial" w:eastAsia="Arial" w:hAnsi="Arial"/>
          <w:b/>
          <w:bCs/>
          <w:sz w:val="22"/>
          <w:szCs w:val="22"/>
        </w:rPr>
        <w:t xml:space="preserve">The Problem: </w:t>
      </w:r>
      <w:r>
        <w:rPr>
          <w:rFonts w:ascii="Arial" w:cs="Arial" w:eastAsia="Arial" w:hAnsi="Arial"/>
          <w:sz w:val="22"/>
          <w:szCs w:val="22"/>
        </w:rPr>
        <w:t xml:space="preserve">Distributed drive systems (e.g., 24 motors on a TBM cutterhead) suffer from 'cascading failure.' If one pinion jams or the ring gear warps, rigid gears shear, causing months of underground downtime with no possibility of easy repair.</w:t>
      </w:r>
    </w:p>
    <w:p>
      <w:pPr>
        <w:spacing w:before="120" w:after="120"/>
      </w:pPr>
      <w:r>
        <w:rPr>
          <w:rFonts w:ascii="Arial" w:cs="Arial" w:eastAsia="Arial" w:hAnsi="Arial"/>
          <w:b/>
          <w:bCs/>
          <w:sz w:val="22"/>
          <w:szCs w:val="22"/>
        </w:rPr>
        <w:t xml:space="preserve">The Reference Design: </w:t>
      </w:r>
      <w:r>
        <w:rPr>
          <w:rFonts w:ascii="Arial" w:cs="Arial" w:eastAsia="Arial" w:hAnsi="Arial"/>
          <w:sz w:val="22"/>
          <w:szCs w:val="22"/>
        </w:rPr>
        <w:t xml:space="preserve">A two-stage hybrid unit combining the extreme reduction ratio of cycloidal discs (up to 200:1 in a single stage) with a magnetic input stage acting as a torsional spring. If a jam occurs, the magnetic gear 'winds up' to equalise the load across all motors, preventing the cascading pinion failures that plague rigid systems.</w:t>
      </w:r>
    </w:p>
    <w:p>
      <w:pPr>
        <w:spacing w:before="120" w:after="120"/>
      </w:pPr>
      <w:r>
        <w:rPr>
          <w:rFonts w:ascii="Arial" w:cs="Arial" w:eastAsia="Arial" w:hAnsi="Arial"/>
          <w:b/>
          <w:bCs/>
          <w:sz w:val="22"/>
          <w:szCs w:val="22"/>
        </w:rPr>
        <w:t xml:space="preserve">Open Benefit: </w:t>
      </w:r>
      <w:r>
        <w:rPr>
          <w:rFonts w:ascii="Arial" w:cs="Arial" w:eastAsia="Arial" w:hAnsi="Arial"/>
          <w:sz w:val="22"/>
          <w:szCs w:val="22"/>
        </w:rPr>
        <w:t xml:space="preserve">Provides modular redundancy. If one motor unit fails, it disconnects magnetically, allowing the machine to continue operating. For TBMs, Code J offers a modular 'insurance policy' against deep-underground mechanical failure.</w:t>
      </w:r>
    </w:p>
    <w:p>
      <w:pPr>
        <w:pStyle w:val="Heading2"/>
        <w:spacing w:before="300" w:after="150"/>
      </w:pPr>
      <w:r>
        <w:rPr>
          <w:rFonts w:ascii="Arial" w:cs="Arial" w:eastAsia="Arial" w:hAnsi="Arial"/>
          <w:b/>
          <w:bCs/>
          <w:sz w:val="24"/>
          <w:szCs w:val="24"/>
        </w:rPr>
        <w:t xml:space="preserve">3.3 Code Q: The Standard for Resilience</w:t>
      </w:r>
    </w:p>
    <w:p>
      <w:pPr>
        <w:spacing w:before="120" w:after="120"/>
      </w:pPr>
      <w:r>
        <w:rPr>
          <w:rFonts w:ascii="Arial" w:cs="Arial" w:eastAsia="Arial" w:hAnsi="Arial"/>
          <w:b/>
          <w:bCs/>
          <w:sz w:val="22"/>
          <w:szCs w:val="22"/>
        </w:rPr>
        <w:t xml:space="preserve">Architecture: </w:t>
      </w:r>
      <w:r>
        <w:rPr>
          <w:rFonts w:ascii="Arial" w:cs="Arial" w:eastAsia="Arial" w:hAnsi="Arial"/>
          <w:sz w:val="22"/>
          <w:szCs w:val="22"/>
        </w:rPr>
        <w:t xml:space="preserve">Hydrostatic Drive + Hermetically Sealed Magnetic Transmission</w:t>
      </w:r>
    </w:p>
    <w:p>
      <w:pPr>
        <w:spacing w:before="120" w:after="120"/>
      </w:pPr>
      <w:r>
        <w:rPr>
          <w:rFonts w:ascii="Arial" w:cs="Arial" w:eastAsia="Arial" w:hAnsi="Arial"/>
          <w:b/>
          <w:bCs/>
          <w:sz w:val="22"/>
          <w:szCs w:val="22"/>
        </w:rPr>
        <w:t xml:space="preserve">Target Applications: </w:t>
      </w:r>
      <w:r>
        <w:rPr>
          <w:rFonts w:ascii="Arial" w:cs="Arial" w:eastAsia="Arial" w:hAnsi="Arial"/>
          <w:sz w:val="22"/>
          <w:szCs w:val="22"/>
        </w:rPr>
        <w:t xml:space="preserve">Dragline Swing Drives, Bucket Wheel Excavators, Mining Shovels, LNG Compressors</w:t>
      </w:r>
    </w:p>
    <w:p>
      <w:pPr>
        <w:spacing w:before="120" w:after="120"/>
      </w:pPr>
      <w:r>
        <w:rPr>
          <w:rFonts w:ascii="Arial" w:cs="Arial" w:eastAsia="Arial" w:hAnsi="Arial"/>
          <w:b/>
          <w:bCs/>
          <w:sz w:val="22"/>
          <w:szCs w:val="22"/>
        </w:rPr>
        <w:t xml:space="preserve">The Problem: </w:t>
      </w:r>
      <w:r>
        <w:rPr>
          <w:rFonts w:ascii="Arial" w:cs="Arial" w:eastAsia="Arial" w:hAnsi="Arial"/>
          <w:sz w:val="22"/>
          <w:szCs w:val="22"/>
        </w:rPr>
        <w:t xml:space="preserve">Massive shock loads during excavation operations destroy conventional gearboxes. When a 100-tonne bucket hits an immovable object, the impact transmits directly through rigid gear trains, stripping teeth and fatiguing structures. Dust, debris, and explosive atmospheres accelerate wear.</w:t>
      </w:r>
    </w:p>
    <w:p>
      <w:pPr>
        <w:spacing w:before="120" w:after="120"/>
      </w:pPr>
      <w:r>
        <w:rPr>
          <w:rFonts w:ascii="Arial" w:cs="Arial" w:eastAsia="Arial" w:hAnsi="Arial"/>
          <w:b/>
          <w:bCs/>
          <w:sz w:val="22"/>
          <w:szCs w:val="22"/>
        </w:rPr>
        <w:t xml:space="preserve">The Reference Design: </w:t>
      </w:r>
      <w:r>
        <w:rPr>
          <w:rFonts w:ascii="Arial" w:cs="Arial" w:eastAsia="Arial" w:hAnsi="Arial"/>
          <w:sz w:val="22"/>
          <w:szCs w:val="22"/>
        </w:rPr>
        <w:t xml:space="preserve">Hydraulic motors providing the immense startup torque required for digging, driving through a hermetically sealed magnetic transmission. The magnetic gear acts as a 'fuse'—if the bucket encounters resistance exceeding the design limit, the gears slip harmlessly rather than snapping teeth.</w:t>
      </w:r>
    </w:p>
    <w:p>
      <w:pPr>
        <w:spacing w:before="120" w:after="120"/>
      </w:pPr>
      <w:r>
        <w:rPr>
          <w:rFonts w:ascii="Arial" w:cs="Arial" w:eastAsia="Arial" w:hAnsi="Arial"/>
          <w:b/>
          <w:bCs/>
          <w:sz w:val="22"/>
          <w:szCs w:val="22"/>
        </w:rPr>
        <w:t xml:space="preserve">Open Benefit: </w:t>
      </w:r>
      <w:r>
        <w:rPr>
          <w:rFonts w:ascii="Arial" w:cs="Arial" w:eastAsia="Arial" w:hAnsi="Arial"/>
          <w:sz w:val="22"/>
          <w:szCs w:val="22"/>
        </w:rPr>
        <w:t xml:space="preserve">Combines the fluid power density of hydraulics with inherent overload protection. Ideal for ATEX-classified zones and dust-contaminated environments where open mechanical gears suffer rapid wear.</w:t>
      </w:r>
    </w:p>
    <w:p>
      <w:pPr>
        <w:pStyle w:val="Heading1"/>
        <w:spacing w:before="400" w:after="200"/>
      </w:pPr>
      <w:r>
        <w:rPr>
          <w:rFonts w:ascii="Arial" w:cs="Arial" w:eastAsia="Arial" w:hAnsi="Arial"/>
          <w:b/>
          <w:bCs/>
          <w:sz w:val="28"/>
          <w:szCs w:val="28"/>
        </w:rPr>
        <w:t xml:space="preserve">4. Technology Readiness and the Scaling Gap</w:t>
      </w:r>
    </w:p>
    <w:p>
      <w:pPr>
        <w:spacing w:before="120" w:after="120"/>
      </w:pPr>
      <w:r>
        <w:rPr>
          <w:rFonts w:ascii="Arial" w:cs="Arial" w:eastAsia="Arial" w:hAnsi="Arial"/>
          <w:sz w:val="22"/>
          <w:szCs w:val="22"/>
        </w:rPr>
        <w:t xml:space="preserve">Intellectual honesty requires acknowledging the substantial gap between current magnetic gearing capability and the requirements of ultra-class applications. This framework is not a description of proven commercial technology—it is a proposal for collaborative development of technologies that remain at early readiness levels.</w:t>
      </w:r>
    </w:p>
    <w:p>
      <w:pPr>
        <w:pStyle w:val="Heading2"/>
        <w:spacing w:before="300" w:after="150"/>
      </w:pPr>
      <w:r>
        <w:rPr>
          <w:rFonts w:ascii="Arial" w:cs="Arial" w:eastAsia="Arial" w:hAnsi="Arial"/>
          <w:b/>
          <w:bCs/>
          <w:sz w:val="24"/>
          <w:szCs w:val="24"/>
        </w:rPr>
        <w:t xml:space="preserve">4.1 Current State of the Art</w:t>
      </w:r>
    </w:p>
    <w:p>
      <w:pPr>
        <w:spacing w:before="120" w:after="120"/>
      </w:pPr>
      <w:r>
        <w:rPr>
          <w:rFonts w:ascii="Arial" w:cs="Arial" w:eastAsia="Arial" w:hAnsi="Arial"/>
          <w:sz w:val="22"/>
          <w:szCs w:val="22"/>
        </w:rPr>
        <w:t xml:space="preserve">Magnetic gearing technology remains at Technology Readiness Level 2–3 for 15+ MW applications despite 25 years of academic research since Atallah and Howe's foundational 2001 paper establishing coaxial flux modulation principles.</w:t>
      </w:r>
    </w:p>
    <w:p>
      <w:pPr>
        <w:spacing w:before="120" w:after="120"/>
      </w:pPr>
      <w:r>
        <w:rPr>
          <w:rFonts w:ascii="Arial" w:cs="Arial" w:eastAsia="Arial" w:hAnsi="Arial"/>
          <w:sz w:val="22"/>
          <w:szCs w:val="22"/>
        </w:rPr>
        <w:t xml:space="preserve">Magnomatics, the sector leader founded in 2006 as a University of Sheffield spinout, has raised approximately $5.6 million and built partnerships with Rolls-Royce (marine propulsion), MHI (commercial development), and Ford/Volvo (hybrid vehicles). Its Pseudo Direct Drive (PDD) technology offers theoretical 8× torque density versus conventional permanent magnet machines. However, the largest demonstrated PDD reached only 200,000 Nm when tested at ORE Catapult in 2019.</w:t>
      </w:r>
    </w:p>
    <w:p>
      <w:pPr>
        <w:pStyle w:val="Heading2"/>
        <w:spacing w:before="300" w:after="150"/>
      </w:pPr>
      <w:r>
        <w:rPr>
          <w:rFonts w:ascii="Arial" w:cs="Arial" w:eastAsia="Arial" w:hAnsi="Arial"/>
          <w:b/>
          <w:bCs/>
          <w:sz w:val="24"/>
          <w:szCs w:val="24"/>
        </w:rPr>
        <w:t xml:space="preserve">4.2 The Field of Failed Ventures</w:t>
      </w:r>
    </w:p>
    <w:p>
      <w:pPr>
        <w:spacing w:before="120" w:after="120"/>
      </w:pPr>
      <w:r>
        <w:rPr>
          <w:rFonts w:ascii="Arial" w:cs="Arial" w:eastAsia="Arial" w:hAnsi="Arial"/>
          <w:sz w:val="22"/>
          <w:szCs w:val="22"/>
        </w:rPr>
        <w:t xml:space="preserve">Context typically omitted: In 25 years, numerous ventures have attempted commercialisation: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Venture</w:t>
            </w:r>
          </w:p>
        </w:tc>
        <w:tc>
          <w:tcPr>
            <w:tcW w:type="dxa" w:w="16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Years Active</w:t>
            </w:r>
          </w:p>
        </w:tc>
        <w:tc>
          <w:tcPr>
            <w:tcW w:type="dxa" w:w="240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Outcome</w:t>
            </w:r>
          </w:p>
        </w:tc>
        <w:tc>
          <w:tcPr>
            <w:tcW w:type="dxa" w:w="336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Lesson</w:t>
            </w:r>
          </w:p>
        </w:tc>
      </w:tr>
      <w:tr>
        <w:tc>
          <w:tcPr>
            <w:tcW w:type="dxa" w:w="20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Magnomatics</w:t>
            </w:r>
          </w:p>
        </w:tc>
        <w:tc>
          <w:tcPr>
            <w:tcW w:type="dxa" w:w="16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2006–present</w:t>
            </w:r>
          </w:p>
        </w:tc>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Surviving, $5.6M raised</w:t>
            </w:r>
          </w:p>
        </w:tc>
        <w:tc>
          <w:tcPr>
            <w:tcW w:type="dxa" w:w="33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18 years to 200kNm; no commercial product yet</w:t>
            </w:r>
          </w:p>
        </w:tc>
      </w:tr>
      <w:tr>
        <w:tc>
          <w:tcPr>
            <w:tcW w:type="dxa" w:w="20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Various academic spinouts</w:t>
            </w:r>
          </w:p>
        </w:tc>
        <w:tc>
          <w:tcPr>
            <w:tcW w:type="dxa" w:w="16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2005–2015</w:t>
            </w:r>
          </w:p>
        </w:tc>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Dissolved or pivoted</w:t>
            </w:r>
          </w:p>
        </w:tc>
        <w:tc>
          <w:tcPr>
            <w:tcW w:type="dxa" w:w="33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Could not achieve commercial scale</w:t>
            </w:r>
          </w:p>
        </w:tc>
      </w:tr>
      <w:tr>
        <w:tc>
          <w:tcPr>
            <w:tcW w:type="dxa" w:w="20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Internal OEM programmes</w:t>
            </w:r>
          </w:p>
        </w:tc>
        <w:tc>
          <w:tcPr>
            <w:tcW w:type="dxa" w:w="16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Unknown</w:t>
            </w:r>
          </w:p>
        </w:tc>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Not disclosed</w:t>
            </w:r>
          </w:p>
        </w:tc>
        <w:tc>
          <w:tcPr>
            <w:tcW w:type="dxa" w:w="33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If successful, would be public by now</w:t>
            </w:r>
          </w:p>
        </w:tc>
      </w:tr>
    </w:tbl>
    <w:p>
      <w:pPr>
        <w:spacing w:before="80" w:after="160"/>
        <w:jc w:val="center"/>
      </w:pPr>
      <w:r>
        <w:rPr>
          <w:rFonts w:ascii="Arial" w:cs="Arial" w:eastAsia="Arial" w:hAnsi="Arial"/>
          <w:i/>
          <w:iCs/>
          <w:color w:val="555555"/>
          <w:sz w:val="20"/>
          <w:szCs w:val="20"/>
        </w:rPr>
        <w:t xml:space="preserve">Table 2: Magnetic Gearing Venture Landscape — Survivorship Context</w:t>
      </w:r>
    </w:p>
    <w:p>
      <w:pPr>
        <w:spacing w:before="120" w:after="120"/>
      </w:pPr>
      <w:r>
        <w:rPr>
          <w:rFonts w:ascii="Arial" w:cs="Arial" w:eastAsia="Arial" w:hAnsi="Arial"/>
          <w:sz w:val="22"/>
          <w:szCs w:val="22"/>
        </w:rPr>
        <w:t xml:space="preserve">The 25-year timeline with one surviving venture at pre-commercial stage is evidence of fundamental difficulty, not merely insufficient funding. Any assessment must account for this asymmetry.</w:t>
      </w:r>
    </w:p>
    <w:p>
      <w:pPr>
        <w:pStyle w:val="Heading2"/>
        <w:spacing w:before="300" w:after="150"/>
      </w:pPr>
      <w:r>
        <w:rPr>
          <w:rFonts w:ascii="Arial" w:cs="Arial" w:eastAsia="Arial" w:hAnsi="Arial"/>
          <w:b/>
          <w:bCs/>
          <w:sz w:val="24"/>
          <w:szCs w:val="24"/>
        </w:rPr>
        <w:t xml:space="preserve">4.3 The Scaling Gap</w:t>
      </w:r>
    </w:p>
    <w:p>
      <w:pPr>
        <w:spacing w:before="120" w:after="120"/>
      </w:pPr>
      <w:r>
        <w:rPr>
          <w:rFonts w:ascii="Arial" w:cs="Arial" w:eastAsia="Arial" w:hAnsi="Arial"/>
          <w:sz w:val="22"/>
          <w:szCs w:val="22"/>
        </w:rPr>
        <w:t xml:space="preserve">The gap between demonstrated capability and required capability is substantial: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rPr>
          <w:tblHeader/>
        </w:trPr>
        <w:tc>
          <w:tcPr>
            <w:tcW w:type="dxa" w:w="320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Application</w:t>
            </w:r>
          </w:p>
        </w:tc>
        <w:tc>
          <w:tcPr>
            <w:tcW w:type="dxa" w:w="24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Required Torque</w:t>
            </w:r>
          </w:p>
        </w:tc>
        <w:tc>
          <w:tcPr>
            <w:tcW w:type="dxa" w:w="20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Demonstrated</w:t>
            </w:r>
          </w:p>
        </w:tc>
        <w:tc>
          <w:tcPr>
            <w:tcW w:type="dxa" w:w="176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Gap Factor</w:t>
            </w:r>
          </w:p>
        </w:tc>
      </w:tr>
      <w:tr>
        <w:tc>
          <w:tcPr>
            <w:tcW w:type="dxa" w:w="32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Magnomatics PDD (Current)</w:t>
            </w:r>
          </w:p>
        </w:tc>
        <w:tc>
          <w:tcPr>
            <w:tcW w:type="dxa" w:w="24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200,000 Nm</w:t>
            </w:r>
          </w:p>
        </w:tc>
        <w:tc>
          <w:tcPr>
            <w:tcW w:type="dxa" w:w="1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Baseline</w:t>
            </w:r>
          </w:p>
        </w:tc>
      </w:tr>
      <w:tr>
        <w:tc>
          <w:tcPr>
            <w:tcW w:type="dxa" w:w="32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15 MW Wind Turbine</w:t>
            </w:r>
          </w:p>
        </w:tc>
        <w:tc>
          <w:tcPr>
            <w:tcW w:type="dxa" w:w="24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~20,000,000 Nm</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200,000 Nm</w:t>
            </w:r>
          </w:p>
        </w:tc>
        <w:tc>
          <w:tcPr>
            <w:tcW w:type="dxa" w:w="1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100×</w:t>
            </w:r>
          </w:p>
        </w:tc>
      </w:tr>
      <w:tr>
        <w:tc>
          <w:tcPr>
            <w:tcW w:type="dxa" w:w="32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Dragline Swing Drive</w:t>
            </w:r>
          </w:p>
        </w:tc>
        <w:tc>
          <w:tcPr>
            <w:tcW w:type="dxa" w:w="24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~50,000,000 Nm</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200,000 Nm</w:t>
            </w:r>
          </w:p>
        </w:tc>
        <w:tc>
          <w:tcPr>
            <w:tcW w:type="dxa" w:w="1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250×</w:t>
            </w:r>
          </w:p>
        </w:tc>
      </w:tr>
      <w:tr>
        <w:tc>
          <w:tcPr>
            <w:tcW w:type="dxa" w:w="32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Bertha TBM (17.45m)</w:t>
            </w:r>
          </w:p>
        </w:tc>
        <w:tc>
          <w:tcPr>
            <w:tcW w:type="dxa" w:w="24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147,000,000 Nm</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200,000 Nm</w:t>
            </w:r>
          </w:p>
        </w:tc>
        <w:tc>
          <w:tcPr>
            <w:tcW w:type="dxa" w:w="1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735×</w:t>
            </w:r>
          </w:p>
        </w:tc>
      </w:tr>
    </w:tbl>
    <w:p>
      <w:pPr>
        <w:spacing w:before="80" w:after="160"/>
        <w:jc w:val="center"/>
      </w:pPr>
      <w:r>
        <w:rPr>
          <w:rFonts w:ascii="Arial" w:cs="Arial" w:eastAsia="Arial" w:hAnsi="Arial"/>
          <w:i/>
          <w:iCs/>
          <w:color w:val="555555"/>
          <w:sz w:val="20"/>
          <w:szCs w:val="20"/>
        </w:rPr>
        <w:t xml:space="preserve">Table 3: Scaling Gap Between Demonstrated and Required Magnetic Gear Capability</w:t>
      </w:r>
    </w:p>
    <w:p>
      <w:pPr>
        <w:pStyle w:val="Heading2"/>
        <w:spacing w:before="300" w:after="150"/>
      </w:pPr>
      <w:r>
        <w:rPr>
          <w:rFonts w:ascii="Arial" w:cs="Arial" w:eastAsia="Arial" w:hAnsi="Arial"/>
          <w:b/>
          <w:bCs/>
          <w:sz w:val="24"/>
          <w:szCs w:val="24"/>
        </w:rPr>
        <w:t xml:space="preserve">4.4 Scaling Challenges</w:t>
      </w:r>
    </w:p>
    <w:p>
      <w:pPr>
        <w:spacing w:before="120" w:after="120"/>
      </w:pPr>
      <w:r>
        <w:rPr>
          <w:rFonts w:ascii="Arial" w:cs="Arial" w:eastAsia="Arial" w:hAnsi="Arial"/>
          <w:sz w:val="22"/>
          <w:szCs w:val="22"/>
        </w:rPr>
        <w:t xml:space="preserve">Linear extrapolation of current technology is not valid. Several technical challenges multiply at larger scales:</w:t>
      </w:r>
    </w:p>
    <w:p>
      <w:pPr>
        <w:pStyle w:val="ListParagraph"/>
        <w:numPr>
          <w:ilvl w:val="0"/>
          <w:numId w:val="3"/>
        </w:numPr>
        <w:spacing w:before="60" w:after="60"/>
      </w:pPr>
      <w:r>
        <w:rPr>
          <w:rFonts w:ascii="Arial" w:cs="Arial" w:eastAsia="Arial" w:hAnsi="Arial"/>
          <w:b/>
          <w:bCs/>
          <w:sz w:val="22"/>
          <w:szCs w:val="22"/>
        </w:rPr>
        <w:t xml:space="preserve">Modulator Deflection: </w:t>
      </w:r>
      <w:r>
        <w:rPr>
          <w:rFonts w:ascii="Arial" w:cs="Arial" w:eastAsia="Arial" w:hAnsi="Arial"/>
          <w:sz w:val="22"/>
          <w:szCs w:val="22"/>
        </w:rPr>
        <w:t xml:space="preserve">Strong magnetic forces cause structural deflection in the flux modulator, degrading efficiency and potentially causing mechanical interference at large diameters.</w:t>
      </w:r>
    </w:p>
    <w:p>
      <w:pPr>
        <w:pStyle w:val="ListParagraph"/>
        <w:numPr>
          <w:ilvl w:val="0"/>
          <w:numId w:val="3"/>
        </w:numPr>
        <w:spacing w:before="60" w:after="60"/>
      </w:pPr>
      <w:r>
        <w:rPr>
          <w:rFonts w:ascii="Arial" w:cs="Arial" w:eastAsia="Arial" w:hAnsi="Arial"/>
          <w:b/>
          <w:bCs/>
          <w:sz w:val="22"/>
          <w:szCs w:val="22"/>
        </w:rPr>
        <w:t xml:space="preserve">Thermal Management: </w:t>
      </w:r>
      <w:r>
        <w:rPr>
          <w:rFonts w:ascii="Arial" w:cs="Arial" w:eastAsia="Arial" w:hAnsi="Arial"/>
          <w:sz w:val="22"/>
          <w:szCs w:val="22"/>
        </w:rPr>
        <w:t xml:space="preserve">Iron and eddy-current losses scale with size, and thermal dissipation becomes critical. Permanent magnet demagnetisation occurs at elevated temperatures, creating potential runaway failure modes.</w:t>
      </w:r>
    </w:p>
    <w:p>
      <w:pPr>
        <w:pStyle w:val="ListParagraph"/>
        <w:numPr>
          <w:ilvl w:val="0"/>
          <w:numId w:val="3"/>
        </w:numPr>
        <w:spacing w:before="60" w:after="60"/>
      </w:pPr>
      <w:r>
        <w:rPr>
          <w:rFonts w:ascii="Arial" w:cs="Arial" w:eastAsia="Arial" w:hAnsi="Arial"/>
          <w:b/>
          <w:bCs/>
          <w:sz w:val="22"/>
          <w:szCs w:val="22"/>
        </w:rPr>
        <w:t xml:space="preserve">Multi-Air-Gap Complexity: </w:t>
      </w:r>
      <w:r>
        <w:rPr>
          <w:rFonts w:ascii="Arial" w:cs="Arial" w:eastAsia="Arial" w:hAnsi="Arial"/>
          <w:sz w:val="22"/>
          <w:szCs w:val="22"/>
        </w:rPr>
        <w:t xml:space="preserve">Large-diameter designs require multiple air gaps, increasing mechanical complexity and rare earth magnet consumption.</w:t>
      </w:r>
    </w:p>
    <w:p>
      <w:r>
        <w:br w:type="page"/>
      </w:r>
    </w:p>
    <w:p>
      <w:pPr>
        <w:pStyle w:val="Heading1"/>
        <w:spacing w:before="400" w:after="200"/>
      </w:pPr>
      <w:r>
        <w:rPr>
          <w:rFonts w:ascii="Arial" w:cs="Arial" w:eastAsia="Arial" w:hAnsi="Arial"/>
          <w:b/>
          <w:bCs/>
          <w:sz w:val="28"/>
          <w:szCs w:val="28"/>
        </w:rPr>
        <w:t xml:space="preserve">5. Emergent Failure Modes</w:t>
      </w:r>
    </w:p>
    <w:p>
      <w:pPr>
        <w:spacing w:before="120" w:after="120"/>
      </w:pPr>
      <w:r>
        <w:rPr>
          <w:rFonts w:ascii="Arial" w:cs="Arial" w:eastAsia="Arial" w:hAnsi="Arial"/>
          <w:sz w:val="22"/>
          <w:szCs w:val="22"/>
        </w:rPr>
        <w:t xml:space="preserve">Magnetic gearing introduces failure modes absent in conventional mechanical systems. Honest assessment of these risks must be weighed against the bearing failure risks of mechanical alternatives.</w:t>
      </w:r>
    </w:p>
    <w:p>
      <w:pPr>
        <w:pStyle w:val="Heading2"/>
        <w:spacing w:before="300" w:after="150"/>
      </w:pPr>
      <w:r>
        <w:rPr>
          <w:rFonts w:ascii="Arial" w:cs="Arial" w:eastAsia="Arial" w:hAnsi="Arial"/>
          <w:b/>
          <w:bCs/>
          <w:sz w:val="24"/>
          <w:szCs w:val="24"/>
        </w:rPr>
        <w:t xml:space="preserve">5.1 Thermal Demagnetisation Cascade</w:t>
      </w:r>
    </w:p>
    <w:p>
      <w:pPr>
        <w:spacing w:before="120" w:after="120"/>
      </w:pPr>
      <w:r>
        <w:rPr>
          <w:rFonts w:ascii="Arial" w:cs="Arial" w:eastAsia="Arial" w:hAnsi="Arial"/>
          <w:sz w:val="22"/>
          <w:szCs w:val="22"/>
        </w:rPr>
        <w:t xml:space="preserve">This is the most serious emergent failure mode.</w:t>
      </w:r>
    </w:p>
    <w:p>
      <w:pPr>
        <w:spacing w:before="120" w:after="120"/>
      </w:pPr>
      <w:r>
        <w:rPr>
          <w:rFonts w:ascii="Arial" w:cs="Arial" w:eastAsia="Arial" w:hAnsi="Arial"/>
          <w:b/>
          <w:bCs/>
          <w:sz w:val="22"/>
          <w:szCs w:val="22"/>
        </w:rPr>
        <w:t xml:space="preserve">Failure sequence: </w:t>
      </w:r>
      <w:r>
        <w:rPr>
          <w:rFonts w:ascii="Arial" w:cs="Arial" w:eastAsia="Arial" w:hAnsi="Arial"/>
          <w:sz w:val="22"/>
          <w:szCs w:val="22"/>
        </w:rPr>
        <w:t xml:space="preserve">(1) Cooling system fault → (2) Operating temperature rises above 150°C → (3) NdFeB magnets begin irreversible demagnetisation → (4) Reduced magnetic flux increases current in remaining magnets → (5) Increased current generates additional heat—cascade accelerates → (6) Complete system failure; no field repair possible.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System</w:t>
            </w:r>
          </w:p>
        </w:tc>
        <w:tc>
          <w:tcPr>
            <w:tcW w:type="dxa" w:w="24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Failure Mode</w:t>
            </w:r>
          </w:p>
        </w:tc>
        <w:tc>
          <w:tcPr>
            <w:tcW w:type="dxa" w:w="22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Degradation</w:t>
            </w:r>
          </w:p>
        </w:tc>
        <w:tc>
          <w:tcPr>
            <w:tcW w:type="dxa" w:w="236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Field Repair</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Mechanical gearbox</w:t>
            </w:r>
          </w:p>
        </w:tc>
        <w:tc>
          <w:tcPr>
            <w:tcW w:type="dxa" w:w="24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Tooth strip</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Graceful (localised)</w:t>
            </w:r>
          </w:p>
        </w:tc>
        <w:tc>
          <w:tcPr>
            <w:tcW w:type="dxa" w:w="23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Often possible</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Magnetic gear</w:t>
            </w:r>
          </w:p>
        </w:tc>
        <w:tc>
          <w:tcPr>
            <w:tcW w:type="dxa" w:w="24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Thermal cascade</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Catastrophic (systemic)</w:t>
            </w:r>
          </w:p>
        </w:tc>
        <w:tc>
          <w:tcPr>
            <w:tcW w:type="dxa" w:w="23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Impossible</w:t>
            </w:r>
          </w:p>
        </w:tc>
      </w:tr>
    </w:tbl>
    <w:p>
      <w:pPr>
        <w:spacing w:before="80" w:after="160"/>
        <w:jc w:val="center"/>
      </w:pPr>
      <w:r>
        <w:rPr>
          <w:rFonts w:ascii="Arial" w:cs="Arial" w:eastAsia="Arial" w:hAnsi="Arial"/>
          <w:i/>
          <w:iCs/>
          <w:color w:val="555555"/>
          <w:sz w:val="20"/>
          <w:szCs w:val="20"/>
        </w:rPr>
        <w:t xml:space="preserve">Table 4: Failure Mode Comparison</w:t>
      </w:r>
    </w:p>
    <w:p>
      <w:pPr>
        <w:spacing w:before="120" w:after="120"/>
      </w:pPr>
      <w:r>
        <w:rPr>
          <w:rFonts w:ascii="Arial" w:cs="Arial" w:eastAsia="Arial" w:hAnsi="Arial"/>
          <w:b/>
          <w:bCs/>
          <w:sz w:val="22"/>
          <w:szCs w:val="22"/>
        </w:rPr>
        <w:t xml:space="preserve">Honest assessment: </w:t>
      </w:r>
      <w:r>
        <w:rPr>
          <w:rFonts w:ascii="Arial" w:cs="Arial" w:eastAsia="Arial" w:hAnsi="Arial"/>
          <w:sz w:val="22"/>
          <w:szCs w:val="22"/>
        </w:rPr>
        <w:t xml:space="preserve">This failure mode is inherent to permanent magnet technology. It cannot be eliminated, only managed through redundant cooling, thermal monitoring, and conservative operating margins.</w:t>
      </w:r>
    </w:p>
    <w:p>
      <w:pPr>
        <w:pStyle w:val="Heading2"/>
        <w:spacing w:before="300" w:after="150"/>
      </w:pPr>
      <w:r>
        <w:rPr>
          <w:rFonts w:ascii="Arial" w:cs="Arial" w:eastAsia="Arial" w:hAnsi="Arial"/>
          <w:b/>
          <w:bCs/>
          <w:sz w:val="24"/>
          <w:szCs w:val="24"/>
        </w:rPr>
        <w:t xml:space="preserve">5.2 Supply Chain Risk (Rare Earth Magnets)</w:t>
      </w:r>
    </w:p>
    <w:p>
      <w:pPr>
        <w:spacing w:before="120" w:after="120"/>
      </w:pPr>
      <w:r>
        <w:rPr>
          <w:rFonts w:ascii="Arial" w:cs="Arial" w:eastAsia="Arial" w:hAnsi="Arial"/>
          <w:sz w:val="22"/>
          <w:szCs w:val="22"/>
        </w:rPr>
        <w:t xml:space="preserve">China controls approximately 70% of global rare earth mining, 90% of refining capacity, and 94% of sintered permanent magnet production. NdFeB pricing demonstrated 6× volatility during 2011 export restrictions. Large offshore wind turbines require 4–5 tonnes of permanent magnets per 15 MW unit.</w:t>
      </w:r>
    </w:p>
    <w:p>
      <w:pPr>
        <w:spacing w:before="120" w:after="120"/>
      </w:pPr>
      <w:r>
        <w:rPr>
          <w:rFonts w:ascii="Arial" w:cs="Arial" w:eastAsia="Arial" w:hAnsi="Arial"/>
          <w:sz w:val="22"/>
          <w:szCs w:val="22"/>
        </w:rPr>
        <w:t xml:space="preserve">Mitigation strategies include multi-sourcing (MP Materials, Lynas), Halbach arrays reducing magnet mass 20–30%, recycling pathways, and strategic inventory buffers. Full supply chain independence is 10–15 years away. Residual dependency risk must be accepted with mitigation measures.</w:t>
      </w:r>
    </w:p>
    <w:p>
      <w:pPr>
        <w:pStyle w:val="Heading1"/>
        <w:spacing w:before="400" w:after="200"/>
      </w:pPr>
      <w:r>
        <w:rPr>
          <w:rFonts w:ascii="Arial" w:cs="Arial" w:eastAsia="Arial" w:hAnsi="Arial"/>
          <w:b/>
          <w:bCs/>
          <w:sz w:val="28"/>
          <w:szCs w:val="28"/>
        </w:rPr>
        <w:t xml:space="preserve">6. Market Opportunity</w:t>
      </w:r>
    </w:p>
    <w:p>
      <w:pPr>
        <w:spacing w:before="120" w:after="120"/>
      </w:pPr>
      <w:r>
        <w:rPr>
          <w:rFonts w:ascii="Arial" w:cs="Arial" w:eastAsia="Arial" w:hAnsi="Arial"/>
          <w:sz w:val="22"/>
          <w:szCs w:val="22"/>
        </w:rPr>
        <w:t xml:space="preserve">Despite the technical challenges, the market opportunity is substantial enough to justify significant collaborative investment. Adopting open standards is not charity—it is a commercial imperative to access a $150+ billion combined market.</w:t>
      </w:r>
    </w:p>
    <w:p>
      <w:pPr>
        <w:pStyle w:val="Heading2"/>
        <w:spacing w:before="300" w:after="150"/>
      </w:pPr>
      <w:r>
        <w:rPr>
          <w:rFonts w:ascii="Arial" w:cs="Arial" w:eastAsia="Arial" w:hAnsi="Arial"/>
          <w:b/>
          <w:bCs/>
          <w:sz w:val="24"/>
          <w:szCs w:val="24"/>
        </w:rPr>
        <w:t xml:space="preserve">6.1 Total Addressable Market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Sector</w:t>
            </w:r>
          </w:p>
        </w:tc>
        <w:tc>
          <w:tcPr>
            <w:tcW w:type="dxa" w:w="22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Market Size (2024)</w:t>
            </w:r>
          </w:p>
        </w:tc>
        <w:tc>
          <w:tcPr>
            <w:tcW w:type="dxa" w:w="20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Growth Rate</w:t>
            </w:r>
          </w:p>
        </w:tc>
        <w:tc>
          <w:tcPr>
            <w:tcW w:type="dxa" w:w="276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2032 Projection</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Wind Turbine Drivetrains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$19–24 billion</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8% CAGR</w:t>
            </w:r>
          </w:p>
        </w:tc>
        <w:tc>
          <w:tcPr>
            <w:tcW w:type="dxa" w:w="2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$38–45 billion</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Mining Equipment</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$147–150 billion</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5–7% CAGR</w:t>
            </w:r>
          </w:p>
        </w:tc>
        <w:tc>
          <w:tcPr>
            <w:tcW w:type="dxa" w:w="2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$200+ billion</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Marine Propulsion</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$28–43 billion</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10.7% CAGR</w:t>
            </w:r>
          </w:p>
        </w:tc>
        <w:tc>
          <w:tcPr>
            <w:tcW w:type="dxa" w:w="2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$14.5B (hybrid segment)</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TBM Drivetrains</w:t>
            </w:r>
          </w:p>
        </w:tc>
        <w:tc>
          <w:tcPr>
            <w:tcW w:type="dxa" w:w="22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$6–7 billion</w:t>
            </w:r>
          </w:p>
        </w:tc>
        <w:tc>
          <w:tcPr>
            <w:tcW w:type="dxa" w:w="20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3–8% CAGR</w:t>
            </w:r>
          </w:p>
        </w:tc>
        <w:tc>
          <w:tcPr>
            <w:tcW w:type="dxa" w:w="276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$8–10 billion</w:t>
            </w:r>
          </w:p>
        </w:tc>
      </w:tr>
    </w:tbl>
    <w:p>
      <w:pPr>
        <w:spacing w:before="80" w:after="160"/>
        <w:jc w:val="center"/>
      </w:pPr>
      <w:r>
        <w:rPr>
          <w:rFonts w:ascii="Arial" w:cs="Arial" w:eastAsia="Arial" w:hAnsi="Arial"/>
          <w:i/>
          <w:iCs/>
          <w:color w:val="555555"/>
          <w:sz w:val="20"/>
          <w:szCs w:val="20"/>
        </w:rPr>
        <w:t xml:space="preserve">Table 5: Total Addressable Market by Sector</w:t>
      </w:r>
    </w:p>
    <w:p>
      <w:pPr>
        <w:pStyle w:val="Heading2"/>
        <w:spacing w:before="300" w:after="150"/>
      </w:pPr>
      <w:r>
        <w:rPr>
          <w:rFonts w:ascii="Arial" w:cs="Arial" w:eastAsia="Arial" w:hAnsi="Arial"/>
          <w:b/>
          <w:bCs/>
          <w:sz w:val="24"/>
          <w:szCs w:val="24"/>
        </w:rPr>
        <w:t xml:space="preserve">6.2 The Economic Case for Open Standards</w:t>
      </w:r>
    </w:p>
    <w:p>
      <w:pPr>
        <w:spacing w:before="120" w:after="120"/>
      </w:pPr>
      <w:r>
        <w:rPr>
          <w:rFonts w:ascii="Arial" w:cs="Arial" w:eastAsia="Arial" w:hAnsi="Arial"/>
          <w:sz w:val="22"/>
          <w:szCs w:val="22"/>
        </w:rPr>
        <w:t xml:space="preserve">The 'USB analogy' applies: just as USB standardised connections across the electronics industry, enabling a multi-billion-dollar ecosystem of compatible devices, the Open Mega-Drive standard can standardise the interface between prime movers (motors, hydraulics) and loads (cutters, propellers, buckets).</w:t>
      </w:r>
    </w:p>
    <w:p>
      <w:pPr>
        <w:spacing w:before="120" w:after="120"/>
      </w:pPr>
      <w:r>
        <w:rPr>
          <w:rFonts w:ascii="Arial" w:cs="Arial" w:eastAsia="Arial" w:hAnsi="Arial"/>
          <w:sz w:val="22"/>
          <w:szCs w:val="22"/>
        </w:rPr>
        <w:t xml:space="preserve">Standardisation creates value through reduced integration costs (common interfaces reduce engineering effort), accelerated certification (shared testing data supports regulatory approval), supply chain efficiency (component manufacturers can serve multiple OEMs), and reduced customer risk (second-sourcing becomes possible).</w:t>
      </w:r>
    </w:p>
    <w:p>
      <w:pPr>
        <w:pStyle w:val="Heading1"/>
        <w:spacing w:before="400" w:after="200"/>
      </w:pPr>
      <w:r>
        <w:rPr>
          <w:rFonts w:ascii="Arial" w:cs="Arial" w:eastAsia="Arial" w:hAnsi="Arial"/>
          <w:b/>
          <w:bCs/>
          <w:sz w:val="28"/>
          <w:szCs w:val="28"/>
        </w:rPr>
        <w:t xml:space="preserve">7. Investment Requirements and Development Roadmap</w:t>
      </w:r>
    </w:p>
    <w:p>
      <w:pPr>
        <w:spacing w:before="120" w:after="120"/>
      </w:pPr>
      <w:r>
        <w:rPr>
          <w:rFonts w:ascii="Arial" w:cs="Arial" w:eastAsia="Arial" w:hAnsi="Arial"/>
          <w:sz w:val="22"/>
          <w:szCs w:val="22"/>
        </w:rPr>
        <w:t xml:space="preserve">A realistic development programme to advance magnetic gearing from TRL 2–3 to commercial deployment spans four phases requiring £70–125 million over 6–9 years.</w:t>
      </w:r>
    </w:p>
    <w:p>
      <w:pPr>
        <w:pStyle w:val="Heading2"/>
        <w:spacing w:before="300" w:after="150"/>
      </w:pPr>
      <w:r>
        <w:rPr>
          <w:rFonts w:ascii="Arial" w:cs="Arial" w:eastAsia="Arial" w:hAnsi="Arial"/>
          <w:b/>
          <w:bCs/>
          <w:sz w:val="24"/>
          <w:szCs w:val="24"/>
        </w:rPr>
        <w:t xml:space="preserve">7.1 Phased Development Programme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Phase</w:t>
            </w:r>
          </w:p>
        </w:tc>
        <w:tc>
          <w:tcPr>
            <w:tcW w:type="dxa" w:w="18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Investment</w:t>
            </w:r>
          </w:p>
        </w:tc>
        <w:tc>
          <w:tcPr>
            <w:tcW w:type="dxa" w:w="1800"/>
            <w:tcBorders>
              <w:top w:val="single" w:color="999999" w:sz="1"/>
              <w:left w:val="single" w:color="999999" w:sz="1"/>
              <w:bottom w:val="single" w:color="999999" w:sz="1"/>
              <w:right w:val="single" w:color="999999" w:sz="1"/>
            </w:tcBorders>
            <w:shd w:fill="E8E8E8" w:val="clear"/>
          </w:tcPr>
          <w:p>
            <w:pPr>
              <w:spacing w:before="60" w:after="60"/>
              <w:jc w:val="center"/>
            </w:pPr>
            <w:r>
              <w:rPr>
                <w:rFonts w:ascii="Arial" w:cs="Arial" w:eastAsia="Arial" w:hAnsi="Arial"/>
                <w:b/>
                <w:bCs/>
                <w:sz w:val="20"/>
                <w:szCs w:val="20"/>
              </w:rPr>
              <w:t xml:space="preserve">Duration</w:t>
            </w:r>
          </w:p>
        </w:tc>
        <w:tc>
          <w:tcPr>
            <w:tcW w:type="dxa" w:w="4160"/>
            <w:tcBorders>
              <w:top w:val="single" w:color="999999" w:sz="1"/>
              <w:left w:val="single" w:color="999999" w:sz="1"/>
              <w:bottom w:val="single" w:color="999999" w:sz="1"/>
              <w:right w:val="single" w:color="999999" w:sz="1"/>
            </w:tcBorders>
            <w:shd w:fill="E8E8E8" w:val="clear"/>
          </w:tcPr>
          <w:p>
            <w:pPr>
              <w:spacing w:before="60" w:after="60"/>
              <w:jc w:val="left"/>
            </w:pPr>
            <w:r>
              <w:rPr>
                <w:rFonts w:ascii="Arial" w:cs="Arial" w:eastAsia="Arial" w:hAnsi="Arial"/>
                <w:b/>
                <w:bCs/>
                <w:sz w:val="20"/>
                <w:szCs w:val="20"/>
              </w:rPr>
              <w:t xml:space="preserve">Objectives</w:t>
            </w:r>
          </w:p>
        </w:tc>
      </w:tr>
      <w:tr>
        <w:tc>
          <w:tcPr>
            <w:tcW w:type="dxa" w:w="16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Phase 1: TRL 3–4</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£5–10M</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18–24 months</w:t>
            </w:r>
          </w:p>
        </w:tc>
        <w:tc>
          <w:tcPr>
            <w:tcW w:type="dxa" w:w="41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Electromagnetic design, small-scale prototyping, materials optimisation</w:t>
            </w:r>
          </w:p>
        </w:tc>
      </w:tr>
      <w:tr>
        <w:tc>
          <w:tcPr>
            <w:tcW w:type="dxa" w:w="16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Phase 2: TRL 5–6</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£15–25M</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24–36 months</w:t>
            </w:r>
          </w:p>
        </w:tc>
        <w:tc>
          <w:tcPr>
            <w:tcW w:type="dxa" w:w="41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MW-scale demonstrator, test infrastructure, certification preparation</w:t>
            </w:r>
          </w:p>
        </w:tc>
      </w:tr>
      <w:tr>
        <w:tc>
          <w:tcPr>
            <w:tcW w:type="dxa" w:w="16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Phase 3: TRL 7–8</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£30–50M</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24–36 months</w:t>
            </w:r>
          </w:p>
        </w:tc>
        <w:tc>
          <w:tcPr>
            <w:tcW w:type="dxa" w:w="41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Full-scale 15+ MW prototype, extended reliability testing, type certification</w:t>
            </w:r>
          </w:p>
        </w:tc>
      </w:tr>
      <w:tr>
        <w:tc>
          <w:tcPr>
            <w:tcW w:type="dxa" w:w="16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Phase 4: TRL 9</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£20–40M</w:t>
            </w:r>
          </w:p>
        </w:tc>
        <w:tc>
          <w:tcPr>
            <w:tcW w:type="dxa" w:w="1800"/>
            <w:tcBorders>
              <w:top w:val="single" w:color="999999" w:sz="1"/>
              <w:left w:val="single" w:color="999999" w:sz="1"/>
              <w:bottom w:val="single" w:color="999999" w:sz="1"/>
              <w:right w:val="single" w:color="999999" w:sz="1"/>
            </w:tcBorders>
          </w:tcPr>
          <w:p>
            <w:pPr>
              <w:spacing w:before="60" w:after="60"/>
              <w:jc w:val="center"/>
            </w:pPr>
            <w:r>
              <w:rPr>
                <w:rFonts w:ascii="Arial" w:cs="Arial" w:eastAsia="Arial" w:hAnsi="Arial"/>
                <w:b w:val="false"/>
                <w:bCs w:val="false"/>
                <w:sz w:val="20"/>
                <w:szCs w:val="20"/>
              </w:rPr>
              <w:t xml:space="preserve">18–24 months</w:t>
            </w:r>
          </w:p>
        </w:tc>
        <w:tc>
          <w:tcPr>
            <w:tcW w:type="dxa" w:w="41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Production line establishment, supply chain development, process qualification</w:t>
            </w:r>
          </w:p>
        </w:tc>
      </w:tr>
    </w:tbl>
    <w:p>
      <w:pPr>
        <w:spacing w:before="80" w:after="160"/>
        <w:jc w:val="center"/>
      </w:pPr>
      <w:r>
        <w:rPr>
          <w:rFonts w:ascii="Arial" w:cs="Arial" w:eastAsia="Arial" w:hAnsi="Arial"/>
          <w:i/>
          <w:iCs/>
          <w:color w:val="555555"/>
          <w:sz w:val="20"/>
          <w:szCs w:val="20"/>
        </w:rPr>
        <w:t xml:space="preserve">Table 6: Phased Investment Requirements</w:t>
      </w:r>
    </w:p>
    <w:p>
      <w:pPr>
        <w:pStyle w:val="Heading2"/>
        <w:spacing w:before="300" w:after="150"/>
      </w:pPr>
      <w:r>
        <w:rPr>
          <w:rFonts w:ascii="Arial" w:cs="Arial" w:eastAsia="Arial" w:hAnsi="Arial"/>
          <w:b/>
          <w:bCs/>
          <w:sz w:val="24"/>
          <w:szCs w:val="24"/>
        </w:rPr>
        <w:t xml:space="preserve">7.2 Why Consortium Funding</w:t>
      </w:r>
    </w:p>
    <w:p>
      <w:pPr>
        <w:spacing w:before="120" w:after="120"/>
      </w:pPr>
      <w:r>
        <w:rPr>
          <w:rFonts w:ascii="Arial" w:cs="Arial" w:eastAsia="Arial" w:hAnsi="Arial"/>
          <w:sz w:val="22"/>
          <w:szCs w:val="22"/>
        </w:rPr>
        <w:t xml:space="preserve">The CleanTech 1.0 experience provides cautionary lessons. Venture capitalists invested $25 billion in cleantech between 2006–2011, with over 50% lost and 90% of Series A investments failing to return capital. Hardware companies 'performed worst' due to capital intensity, long development timelines, and inability to exit within typical VC fund horizons.</w:t>
      </w:r>
    </w:p>
    <w:p>
      <w:pPr>
        <w:spacing w:before="120" w:after="120"/>
      </w:pPr>
      <w:r>
        <w:rPr>
          <w:rFonts w:ascii="Arial" w:cs="Arial" w:eastAsia="Arial" w:hAnsi="Arial"/>
          <w:sz w:val="22"/>
          <w:szCs w:val="22"/>
        </w:rPr>
        <w:t xml:space="preserve">A consortium approach distributes risk across multiple stakeholders—OEMs, operators, government agencies, and research institutions—while pooling resources for shared infrastructure such as test facilities.</w:t>
      </w:r>
    </w:p>
    <w:p>
      <w:r>
        <w:br w:type="page"/>
      </w:r>
    </w:p>
    <w:p>
      <w:pPr>
        <w:pStyle w:val="Heading1"/>
        <w:spacing w:before="400" w:after="200"/>
      </w:pPr>
      <w:r>
        <w:rPr>
          <w:rFonts w:ascii="Arial" w:cs="Arial" w:eastAsia="Arial" w:hAnsi="Arial"/>
          <w:b/>
          <w:bCs/>
          <w:sz w:val="28"/>
          <w:szCs w:val="28"/>
        </w:rPr>
        <w:t xml:space="preserve">8. Call to Consortium</w:t>
      </w:r>
    </w:p>
    <w:p>
      <w:pPr>
        <w:spacing w:before="120" w:after="120"/>
      </w:pPr>
      <w:r>
        <w:rPr>
          <w:rFonts w:ascii="Arial" w:cs="Arial" w:eastAsia="Arial" w:hAnsi="Arial"/>
          <w:sz w:val="22"/>
          <w:szCs w:val="22"/>
        </w:rPr>
        <w:t xml:space="preserve">The technology to fix the world's largest machines exists in prototype form, but it is trapped in low-TRL demonstrations and fragmented proprietary development. The scaling challenges are substantial, but they are engineering problems—not fundamental physics barriers.</w:t>
      </w:r>
    </w:p>
    <w:p>
      <w:pPr>
        <w:spacing w:before="120" w:after="120"/>
      </w:pPr>
      <w:r>
        <w:rPr>
          <w:rFonts w:ascii="Arial" w:cs="Arial" w:eastAsia="Arial" w:hAnsi="Arial"/>
          <w:sz w:val="22"/>
          <w:szCs w:val="22"/>
        </w:rPr>
        <w:t xml:space="preserve">We call upon OEMs, mining operators, energy developers, and research institutions to form the Mega-Drive Consortium with three objectives:</w:t>
      </w:r>
    </w:p>
    <w:p>
      <w:pPr>
        <w:pStyle w:val="Heading2"/>
        <w:spacing w:before="300" w:after="150"/>
      </w:pPr>
      <w:r>
        <w:rPr>
          <w:rFonts w:ascii="Arial" w:cs="Arial" w:eastAsia="Arial" w:hAnsi="Arial"/>
          <w:b/>
          <w:bCs/>
          <w:sz w:val="24"/>
          <w:szCs w:val="24"/>
        </w:rPr>
        <w:t xml:space="preserve">8.1 Adopt</w:t>
      </w:r>
    </w:p>
    <w:p>
      <w:pPr>
        <w:spacing w:before="120" w:after="120"/>
      </w:pPr>
      <w:r>
        <w:rPr>
          <w:rFonts w:ascii="Arial" w:cs="Arial" w:eastAsia="Arial" w:hAnsi="Arial"/>
          <w:sz w:val="22"/>
          <w:szCs w:val="22"/>
        </w:rPr>
        <w:t xml:space="preserve">Endorse the Code S, J, and Q topologies as industry reference standards. Specify 'Open Mega-Drive Compliant' drives in procurement tenders. This creates market pull that justifies development investment and signals demand to component suppliers.</w:t>
      </w:r>
    </w:p>
    <w:p>
      <w:pPr>
        <w:pStyle w:val="Heading2"/>
        <w:spacing w:before="300" w:after="150"/>
      </w:pPr>
      <w:r>
        <w:rPr>
          <w:rFonts w:ascii="Arial" w:cs="Arial" w:eastAsia="Arial" w:hAnsi="Arial"/>
          <w:b/>
          <w:bCs/>
          <w:sz w:val="24"/>
          <w:szCs w:val="24"/>
        </w:rPr>
        <w:t xml:space="preserve">8.2 Share</w:t>
      </w:r>
    </w:p>
    <w:p>
      <w:pPr>
        <w:spacing w:before="120" w:after="120"/>
      </w:pPr>
      <w:r>
        <w:rPr>
          <w:rFonts w:ascii="Arial" w:cs="Arial" w:eastAsia="Arial" w:hAnsi="Arial"/>
          <w:sz w:val="22"/>
          <w:szCs w:val="22"/>
        </w:rPr>
        <w:t xml:space="preserve">Pool failure data to refine specifications for hybrid drives. The bearing failure rates cited in this paper (50–76% across sectors) come from fragmented sources. A comprehensive, anonymised failure database would enable targeted engineering solutions and validate the commercial case for hybrid adoption.</w:t>
      </w:r>
    </w:p>
    <w:p>
      <w:pPr>
        <w:pStyle w:val="Heading2"/>
        <w:spacing w:before="300" w:after="150"/>
      </w:pPr>
      <w:r>
        <w:rPr>
          <w:rFonts w:ascii="Arial" w:cs="Arial" w:eastAsia="Arial" w:hAnsi="Arial"/>
          <w:b/>
          <w:bCs/>
          <w:sz w:val="24"/>
          <w:szCs w:val="24"/>
        </w:rPr>
        <w:t xml:space="preserve">8.3 Build</w:t>
      </w:r>
    </w:p>
    <w:p>
      <w:pPr>
        <w:spacing w:before="120" w:after="120"/>
      </w:pPr>
      <w:r>
        <w:rPr>
          <w:rFonts w:ascii="Arial" w:cs="Arial" w:eastAsia="Arial" w:hAnsi="Arial"/>
          <w:sz w:val="22"/>
          <w:szCs w:val="22"/>
        </w:rPr>
        <w:t xml:space="preserve">Co-invest in a shared 5–15 MW testing facility to validate these architectures, moving them from TRL 3 to TRL 7. Existing facilities at DOE Clemson (15 MW capacity), NREL, and ORE Catapult provide starting points. A dedicated consortium facility could accelerate certification timelines and reduce individual member risk.</w:t>
      </w:r>
    </w:p>
    <w:p>
      <w:pPr>
        <w:pStyle w:val="Heading1"/>
        <w:spacing w:before="400" w:after="200"/>
      </w:pPr>
      <w:r>
        <w:rPr>
          <w:rFonts w:ascii="Arial" w:cs="Arial" w:eastAsia="Arial" w:hAnsi="Arial"/>
          <w:b/>
          <w:bCs/>
          <w:sz w:val="28"/>
          <w:szCs w:val="28"/>
        </w:rPr>
        <w:t xml:space="preserve">9. Discussion and Limitations</w:t>
      </w:r>
    </w:p>
    <w:p>
      <w:pPr>
        <w:spacing w:before="120" w:after="120"/>
      </w:pPr>
      <w:r>
        <w:rPr>
          <w:rFonts w:ascii="Arial" w:cs="Arial" w:eastAsia="Arial" w:hAnsi="Arial"/>
          <w:sz w:val="22"/>
          <w:szCs w:val="22"/>
        </w:rPr>
        <w:t xml:space="preserve">This assessment operates under significant uncertainty. The following limitations are acknowledged:</w:t>
      </w:r>
    </w:p>
    <w:p>
      <w:pPr>
        <w:pStyle w:val="ListParagraph"/>
        <w:numPr>
          <w:ilvl w:val="0"/>
          <w:numId w:val="4"/>
        </w:numPr>
        <w:spacing w:before="80" w:after="80"/>
      </w:pPr>
      <w:r>
        <w:rPr>
          <w:rFonts w:ascii="Arial" w:cs="Arial" w:eastAsia="Arial" w:hAnsi="Arial"/>
          <w:sz w:val="22"/>
          <w:szCs w:val="22"/>
        </w:rPr>
        <w:t xml:space="preserve">Survivorship bias: The public record shows only Magnomatics' success. Failed ventures did not publish technical learnings. This document cannot correct for unknown failures.</w:t>
      </w:r>
    </w:p>
    <w:p>
      <w:pPr>
        <w:pStyle w:val="ListParagraph"/>
        <w:numPr>
          <w:ilvl w:val="0"/>
          <w:numId w:val="4"/>
        </w:numPr>
        <w:spacing w:before="80" w:after="80"/>
      </w:pPr>
      <w:r>
        <w:rPr>
          <w:rFonts w:ascii="Arial" w:cs="Arial" w:eastAsia="Arial" w:hAnsi="Arial"/>
          <w:sz w:val="22"/>
          <w:szCs w:val="22"/>
        </w:rPr>
        <w:t xml:space="preserve">The 100–735× scaling gap is unprecedented. No validated physics model exists for extrapolation at this magnitude. The scaling hypothesis may prove false.</w:t>
      </w:r>
    </w:p>
    <w:p>
      <w:pPr>
        <w:pStyle w:val="ListParagraph"/>
        <w:numPr>
          <w:ilvl w:val="0"/>
          <w:numId w:val="4"/>
        </w:numPr>
        <w:spacing w:before="80" w:after="80"/>
      </w:pPr>
      <w:r>
        <w:rPr>
          <w:rFonts w:ascii="Arial" w:cs="Arial" w:eastAsia="Arial" w:hAnsi="Arial"/>
          <w:sz w:val="22"/>
          <w:szCs w:val="22"/>
        </w:rPr>
        <w:t xml:space="preserve">Direct-drive technology has already addressed reliability challenges in offshore wind. The hybrid magnetic approach must demonstrate clear advantages to displace established solutions.</w:t>
      </w:r>
    </w:p>
    <w:p>
      <w:pPr>
        <w:pStyle w:val="ListParagraph"/>
        <w:numPr>
          <w:ilvl w:val="0"/>
          <w:numId w:val="4"/>
        </w:numPr>
        <w:spacing w:before="80" w:after="80"/>
      </w:pPr>
      <w:r>
        <w:rPr>
          <w:rFonts w:ascii="Arial" w:cs="Arial" w:eastAsia="Arial" w:hAnsi="Arial"/>
          <w:sz w:val="22"/>
          <w:szCs w:val="22"/>
        </w:rPr>
        <w:t xml:space="preserve">This document proposes research to determine viability—it does not claim magnetic gearing will succeed. Phase 1 must establish validated scaling relationships before substantial capital commitment.</w:t>
      </w:r>
    </w:p>
    <w:p>
      <w:pPr>
        <w:pStyle w:val="ListParagraph"/>
        <w:numPr>
          <w:ilvl w:val="0"/>
          <w:numId w:val="4"/>
        </w:numPr>
        <w:spacing w:before="80" w:after="80"/>
      </w:pPr>
      <w:r>
        <w:rPr>
          <w:rFonts w:ascii="Arial" w:cs="Arial" w:eastAsia="Arial" w:hAnsi="Arial"/>
          <w:sz w:val="22"/>
          <w:szCs w:val="22"/>
        </w:rPr>
        <w:t xml:space="preserve">The author has no affiliation with Magnomatics or any magnetic gearing company. The analysis is independent but not neutral—it was undertaken because the author believes the concept has potential. This is disclosed bias, not hidden bias.</w:t>
      </w:r>
    </w:p>
    <w:p>
      <w:pPr>
        <w:pStyle w:val="Heading1"/>
        <w:spacing w:before="400" w:after="200"/>
      </w:pPr>
      <w:r>
        <w:rPr>
          <w:rFonts w:ascii="Arial" w:cs="Arial" w:eastAsia="Arial" w:hAnsi="Arial"/>
          <w:b/>
          <w:bCs/>
          <w:sz w:val="28"/>
          <w:szCs w:val="28"/>
        </w:rPr>
        <w:t xml:space="preserve">10. Conclusion</w:t>
      </w:r>
    </w:p>
    <w:p>
      <w:pPr>
        <w:spacing w:before="120" w:after="120"/>
      </w:pPr>
      <w:r>
        <w:rPr>
          <w:rFonts w:ascii="Arial" w:cs="Arial" w:eastAsia="Arial" w:hAnsi="Arial"/>
          <w:sz w:val="22"/>
          <w:szCs w:val="22"/>
        </w:rPr>
        <w:t xml:space="preserve">The era of brute-force scaling is over. The next era belongs to intelligent, compliant, and open systems.</w:t>
      </w:r>
    </w:p>
    <w:p>
      <w:pPr>
        <w:spacing w:before="120" w:after="120"/>
      </w:pPr>
      <w:r>
        <w:rPr>
          <w:rFonts w:ascii="Arial" w:cs="Arial" w:eastAsia="Arial" w:hAnsi="Arial"/>
          <w:sz w:val="22"/>
          <w:szCs w:val="22"/>
        </w:rPr>
        <w:t xml:space="preserve">The problems facing ultra-class machinery—bearing failures, gear tooth stripping, thermal degradation—are universal. They affect wind turbines and tunnel boring machines, cruise ships and mining draglines. No single company owns the problem; no single company should bear the full cost of solving it.</w:t>
      </w:r>
    </w:p>
    <w:p>
      <w:pPr>
        <w:spacing w:before="120" w:after="120"/>
      </w:pPr>
      <w:r>
        <w:rPr>
          <w:rFonts w:ascii="Arial" w:cs="Arial" w:eastAsia="Arial" w:hAnsi="Arial"/>
          <w:sz w:val="22"/>
          <w:szCs w:val="22"/>
        </w:rPr>
        <w:t xml:space="preserve">This paper proposes that the global engineering community collectively de-risk the transition to contactless transmission by adopting open, standardised hybrid drive topologies. By replacing proprietary secrecy with shared reference architectures, we can accelerate the TRL progression of magnetic and hybrid gearing from laboratory curiosity to commercial reality.</w:t>
      </w:r>
    </w:p>
    <w:p>
      <w:pPr>
        <w:spacing w:before="120" w:after="120"/>
      </w:pPr>
      <w:r>
        <w:rPr>
          <w:rFonts w:ascii="Arial" w:cs="Arial" w:eastAsia="Arial" w:hAnsi="Arial"/>
          <w:sz w:val="22"/>
          <w:szCs w:val="22"/>
        </w:rPr>
        <w:t xml:space="preserve">The investment required—£70–125 million over 6–9 years—is substantial but achievable through consortium funding. The market opportunity—$150+ billion across four industrial sectors—justifies the effort. The alternative—continued epidemic bearing failures, stranded assets, and catastrophic project delays—is increasingly unacceptable.</w:t>
      </w:r>
    </w:p>
    <w:p>
      <w:pPr>
        <w:spacing w:before="120" w:after="120"/>
      </w:pPr>
      <w:r>
        <w:rPr>
          <w:rFonts w:ascii="Arial" w:cs="Arial" w:eastAsia="Arial" w:hAnsi="Arial"/>
          <w:sz w:val="22"/>
          <w:szCs w:val="22"/>
        </w:rPr>
        <w:t xml:space="preserve">The future of the world's largest machines—from 600,000-tonne floating LNG platforms to 18-metre tunnel boring machines—lies in intelligent, compliant, and non-contact hybrid architectures. This paper is the first step toward that shared future.</w:t>
      </w:r>
    </w:p>
    <w:p>
      <w:r>
        <w:br w:type="page"/>
      </w:r>
    </w:p>
    <w:p>
      <w:pPr>
        <w:pStyle w:val="Heading1"/>
        <w:spacing w:before="400" w:after="200"/>
      </w:pPr>
      <w:r>
        <w:rPr>
          <w:rFonts w:ascii="Arial" w:cs="Arial" w:eastAsia="Arial" w:hAnsi="Arial"/>
          <w:b/>
          <w:bCs/>
          <w:sz w:val="28"/>
          <w:szCs w:val="28"/>
        </w:rPr>
        <w:t xml:space="preserve">Appendix A: Document Metadata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Title</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Open Mega-Drive Framework</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Subtitle</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A Shared Architecture for the Post-Scaling Era</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GUID</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AG-2026-0107-2100</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Version</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2.1</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Date</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January 2026</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Author</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Aaron Garcia</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Affiliation</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Independent Researcher</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Contact</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aaron@garcia.ltd</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License</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CC-BY-SA 4.0 International</w:t>
            </w:r>
          </w:p>
        </w:tc>
      </w:tr>
      <w:tr>
        <w:tc>
          <w:tcPr>
            <w:tcW w:type="dxa" w:w="240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Status</w:t>
            </w:r>
          </w:p>
        </w:tc>
        <w:tc>
          <w:tcPr>
            <w:tcW w:type="dxa" w:w="6960"/>
            <w:tcBorders>
              <w:top w:val="single" w:color="999999" w:sz="1"/>
              <w:left w:val="single" w:color="999999" w:sz="1"/>
              <w:bottom w:val="single" w:color="999999" w:sz="1"/>
              <w:right w:val="single" w:color="999999" w:sz="1"/>
            </w:tcBorders>
          </w:tcPr>
          <w:p>
            <w:pPr>
              <w:spacing w:before="60" w:after="60"/>
              <w:jc w:val="left"/>
            </w:pPr>
            <w:r>
              <w:rPr>
                <w:rFonts w:ascii="Arial" w:cs="Arial" w:eastAsia="Arial" w:hAnsi="Arial"/>
                <w:b w:val="false"/>
                <w:bCs w:val="false"/>
                <w:sz w:val="20"/>
                <w:szCs w:val="20"/>
              </w:rPr>
              <w:t xml:space="preserve">Public Invitation for Collaboration</w:t>
            </w:r>
          </w:p>
        </w:tc>
      </w:tr>
    </w:tbl>
    <w:p>
      <w:pPr>
        <w:spacing w:before="80" w:after="160"/>
        <w:jc w:val="center"/>
      </w:pPr>
      <w:r>
        <w:rPr>
          <w:rFonts w:ascii="Arial" w:cs="Arial" w:eastAsia="Arial" w:hAnsi="Arial"/>
          <w:i/>
          <w:iCs/>
          <w:color w:val="555555"/>
          <w:sz w:val="20"/>
          <w:szCs w:val="20"/>
        </w:rPr>
        <w:t xml:space="preserve">Table A1: Document Metadata</w:t>
      </w:r>
    </w:p>
    <w:p>
      <w:pPr>
        <w:pStyle w:val="Heading1"/>
        <w:spacing w:before="400" w:after="200"/>
      </w:pPr>
      <w:r>
        <w:rPr>
          <w:rFonts w:ascii="Arial" w:cs="Arial" w:eastAsia="Arial" w:hAnsi="Arial"/>
          <w:b/>
          <w:bCs/>
          <w:sz w:val="28"/>
          <w:szCs w:val="28"/>
        </w:rPr>
        <w:t xml:space="preserve">Appendix B: Glossary</w:t>
      </w:r>
    </w:p>
    <w:p>
      <w:pPr>
        <w:spacing w:before="120" w:after="120"/>
      </w:pPr>
      <w:r>
        <w:rPr>
          <w:rFonts w:ascii="Arial" w:cs="Arial" w:eastAsia="Arial" w:hAnsi="Arial"/>
          <w:b/>
          <w:bCs/>
          <w:sz w:val="22"/>
          <w:szCs w:val="22"/>
        </w:rPr>
        <w:t xml:space="preserve">Compliant transmission: </w:t>
      </w:r>
      <w:r>
        <w:rPr>
          <w:rFonts w:ascii="Arial" w:cs="Arial" w:eastAsia="Arial" w:hAnsi="Arial"/>
          <w:sz w:val="22"/>
          <w:szCs w:val="22"/>
        </w:rPr>
        <w:t xml:space="preserve">A drivetrain with intentional mechanical flexibility that absorbs shock loads rather than transmitting them rigidly. In magnetic gearing, compliance is provided by magnetic slip.</w:t>
      </w:r>
    </w:p>
    <w:p>
      <w:pPr>
        <w:spacing w:before="120" w:after="120"/>
      </w:pPr>
      <w:r>
        <w:rPr>
          <w:rFonts w:ascii="Arial" w:cs="Arial" w:eastAsia="Arial" w:hAnsi="Arial"/>
          <w:b/>
          <w:bCs/>
          <w:sz w:val="22"/>
          <w:szCs w:val="22"/>
        </w:rPr>
        <w:t xml:space="preserve">Contactless: </w:t>
      </w:r>
      <w:r>
        <w:rPr>
          <w:rFonts w:ascii="Arial" w:cs="Arial" w:eastAsia="Arial" w:hAnsi="Arial"/>
          <w:sz w:val="22"/>
          <w:szCs w:val="22"/>
        </w:rPr>
        <w:t xml:space="preserve">Operation without metal-to-metal contact between torque-transmitting components. Refers to the gear mesh specifically, not the entire assembly (which still requires bearings).</w:t>
      </w:r>
    </w:p>
    <w:p>
      <w:pPr>
        <w:spacing w:before="120" w:after="120"/>
      </w:pPr>
      <w:r>
        <w:rPr>
          <w:rFonts w:ascii="Arial" w:cs="Arial" w:eastAsia="Arial" w:hAnsi="Arial"/>
          <w:b/>
          <w:bCs/>
          <w:sz w:val="22"/>
          <w:szCs w:val="22"/>
        </w:rPr>
        <w:t xml:space="preserve">TRL (Technology Readiness Level): </w:t>
      </w:r>
      <w:r>
        <w:rPr>
          <w:rFonts w:ascii="Arial" w:cs="Arial" w:eastAsia="Arial" w:hAnsi="Arial"/>
          <w:sz w:val="22"/>
          <w:szCs w:val="22"/>
        </w:rPr>
        <w:t xml:space="preserve">NASA-derived scale from 1 (basic principles observed) to 9 (proven through successful operations). Current magnetic gearing for ultra-class applications: TRL 2–3.</w:t>
      </w:r>
    </w:p>
    <w:p>
      <w:pPr>
        <w:spacing w:before="120" w:after="120"/>
      </w:pPr>
      <w:r>
        <w:rPr>
          <w:rFonts w:ascii="Arial" w:cs="Arial" w:eastAsia="Arial" w:hAnsi="Arial"/>
          <w:b/>
          <w:bCs/>
          <w:sz w:val="22"/>
          <w:szCs w:val="22"/>
        </w:rPr>
        <w:t xml:space="preserve">White-etch cracking: </w:t>
      </w:r>
      <w:r>
        <w:rPr>
          <w:rFonts w:ascii="Arial" w:cs="Arial" w:eastAsia="Arial" w:hAnsi="Arial"/>
          <w:sz w:val="22"/>
          <w:szCs w:val="22"/>
        </w:rPr>
        <w:t xml:space="preserve">A metallurgical phenomenon where hydrogen diffuses into bearing races under cyclic loading, creating brittle subsurface cracks. Primary cause of bearing failures in wind turbine gearboxes.</w:t>
      </w:r>
    </w:p>
    <w:p>
      <w:pPr>
        <w:spacing w:before="120" w:after="120"/>
      </w:pPr>
      <w:r>
        <w:rPr>
          <w:rFonts w:ascii="Arial" w:cs="Arial" w:eastAsia="Arial" w:hAnsi="Arial"/>
          <w:b/>
          <w:bCs/>
          <w:sz w:val="22"/>
          <w:szCs w:val="22"/>
        </w:rPr>
        <w:t xml:space="preserve">Thermal demagnetisation: </w:t>
      </w:r>
      <w:r>
        <w:rPr>
          <w:rFonts w:ascii="Arial" w:cs="Arial" w:eastAsia="Arial" w:hAnsi="Arial"/>
          <w:sz w:val="22"/>
          <w:szCs w:val="22"/>
        </w:rPr>
        <w:t xml:space="preserve">Irreversible loss of magnetic properties when permanent magnets (NdFeB) exceed their Curie temperature threshold (~150°C). Cannot be reversed without remagnetisation.</w:t>
      </w:r>
    </w:p>
    <w:p>
      <w:pPr>
        <w:spacing w:before="120" w:after="120"/>
      </w:pPr>
      <w:r>
        <w:rPr>
          <w:rFonts w:ascii="Arial" w:cs="Arial" w:eastAsia="Arial" w:hAnsi="Arial"/>
          <w:b/>
          <w:bCs/>
          <w:sz w:val="22"/>
          <w:szCs w:val="22"/>
        </w:rPr>
        <w:t xml:space="preserve">Ultra-class machinery: </w:t>
      </w:r>
      <w:r>
        <w:rPr>
          <w:rFonts w:ascii="Arial" w:cs="Arial" w:eastAsia="Arial" w:hAnsi="Arial"/>
          <w:sz w:val="22"/>
          <w:szCs w:val="22"/>
        </w:rPr>
        <w:t xml:space="preserve">Industrial equipment operating at ≥10 MW or ≥10 MNm torque. Examples: 15+ MW wind turbines, large TBMs, mining draglines.</w:t>
      </w:r>
    </w:p>
    <w:p>
      <w:pPr>
        <w:spacing w:before="120" w:after="120"/>
      </w:pPr>
      <w:r>
        <w:rPr>
          <w:rFonts w:ascii="Arial" w:cs="Arial" w:eastAsia="Arial" w:hAnsi="Arial"/>
          <w:b/>
          <w:bCs/>
          <w:sz w:val="22"/>
          <w:szCs w:val="22"/>
        </w:rPr>
        <w:t xml:space="preserve">NdFeB: </w:t>
      </w:r>
      <w:r>
        <w:rPr>
          <w:rFonts w:ascii="Arial" w:cs="Arial" w:eastAsia="Arial" w:hAnsi="Arial"/>
          <w:sz w:val="22"/>
          <w:szCs w:val="22"/>
        </w:rPr>
        <w:t xml:space="preserve">Neodymium-iron-boron. The most common rare earth permanent magnet material, offering highest energy density but with supply chain concentration in China.</w:t>
      </w:r>
    </w:p>
    <w:p>
      <w:pPr>
        <w:pStyle w:val="Heading1"/>
        <w:spacing w:before="400" w:after="200"/>
      </w:pPr>
      <w:r>
        <w:rPr>
          <w:rFonts w:ascii="Arial" w:cs="Arial" w:eastAsia="Arial" w:hAnsi="Arial"/>
          <w:b/>
          <w:bCs/>
          <w:sz w:val="28"/>
          <w:szCs w:val="28"/>
        </w:rPr>
        <w:t xml:space="preserve">Appendix C: Methodology and Transparency Statement</w:t>
      </w:r>
    </w:p>
    <w:p>
      <w:pPr>
        <w:pStyle w:val="Heading2"/>
        <w:spacing w:before="300" w:after="150"/>
      </w:pPr>
      <w:r>
        <w:rPr>
          <w:rFonts w:ascii="Arial" w:cs="Arial" w:eastAsia="Arial" w:hAnsi="Arial"/>
          <w:b/>
          <w:bCs/>
          <w:sz w:val="24"/>
          <w:szCs w:val="24"/>
        </w:rPr>
        <w:t xml:space="preserve">Author Context and Expertise</w:t>
      </w:r>
    </w:p>
    <w:p>
      <w:pPr>
        <w:spacing w:before="120" w:after="120"/>
      </w:pPr>
      <w:r>
        <w:rPr>
          <w:rFonts w:ascii="Arial" w:cs="Arial" w:eastAsia="Arial" w:hAnsi="Arial"/>
          <w:sz w:val="22"/>
          <w:szCs w:val="22"/>
        </w:rPr>
        <w:t xml:space="preserve">This work is grounded in 30 years of multi-sector experience in systems engineering, spanning aerospace, energy, and industrial machinery with specialisation in reliability analysis. The analytical framework reflects professional history, focusing on practical application.</w:t>
      </w:r>
    </w:p>
    <w:p>
      <w:pPr>
        <w:spacing w:before="120" w:after="120"/>
      </w:pPr>
      <w:r>
        <w:rPr>
          <w:rFonts w:ascii="Arial" w:cs="Arial" w:eastAsia="Arial" w:hAnsi="Arial"/>
          <w:sz w:val="22"/>
          <w:szCs w:val="22"/>
        </w:rPr>
        <w:t xml:space="preserve">The garcia.ltd domain is a personal consultancy vehicle. This work is undertaken independently without commercial affiliation to any magnetic gearing company. The author has no financial interest in Magnomatics or any competitor.</w:t>
      </w:r>
    </w:p>
    <w:p>
      <w:pPr>
        <w:pStyle w:val="Heading2"/>
        <w:spacing w:before="300" w:after="150"/>
      </w:pPr>
      <w:r>
        <w:rPr>
          <w:rFonts w:ascii="Arial" w:cs="Arial" w:eastAsia="Arial" w:hAnsi="Arial"/>
          <w:b/>
          <w:bCs/>
          <w:sz w:val="24"/>
          <w:szCs w:val="24"/>
        </w:rPr>
        <w:t xml:space="preserve">Digital Methodology and Accessibility</w:t>
      </w:r>
    </w:p>
    <w:p>
      <w:pPr>
        <w:spacing w:before="120" w:after="120"/>
      </w:pPr>
      <w:r>
        <w:rPr>
          <w:rFonts w:ascii="Arial" w:cs="Arial" w:eastAsia="Arial" w:hAnsi="Arial"/>
          <w:sz w:val="22"/>
          <w:szCs w:val="22"/>
        </w:rPr>
        <w:t xml:space="preserve">In the spirit of transparency, generative AI tools—specifically Claude, Google Gemini, and ChatGPT—were utilised to assist in the production of this paper. These tools were employed as 'force multipliers' for data synthesis and editorial accessibility. As a writer with dyslexia, these models serve as assistive technology to refine grammar and streamline sentence structure.</w:t>
      </w:r>
    </w:p>
    <w:p>
      <w:pPr>
        <w:pStyle w:val="Heading2"/>
        <w:spacing w:before="300" w:after="150"/>
      </w:pPr>
      <w:r>
        <w:rPr>
          <w:rFonts w:ascii="Arial" w:cs="Arial" w:eastAsia="Arial" w:hAnsi="Arial"/>
          <w:b/>
          <w:bCs/>
          <w:sz w:val="24"/>
          <w:szCs w:val="24"/>
        </w:rPr>
        <w:t xml:space="preserve">Verification and Integrity</w:t>
      </w:r>
    </w:p>
    <w:p>
      <w:pPr>
        <w:spacing w:before="120" w:after="120"/>
      </w:pPr>
      <w:r>
        <w:rPr>
          <w:rFonts w:ascii="Arial" w:cs="Arial" w:eastAsia="Arial" w:hAnsi="Arial"/>
          <w:sz w:val="22"/>
          <w:szCs w:val="22"/>
        </w:rPr>
        <w:t xml:space="preserve">While AI assisted in processing data, the intellectual oversight is entirely human. Manual validation was performed on all factual claims. Technical specifications are derived from published literature and industry sources. The author accepts full responsibility for the accuracy and originality of the final output. Any errors are human errors.</w:t>
      </w:r>
    </w:p>
    <w:p>
      <w:pPr>
        <w:pStyle w:val="Heading1"/>
        <w:spacing w:before="400" w:after="200"/>
      </w:pPr>
      <w:r>
        <w:rPr>
          <w:rFonts w:ascii="Arial" w:cs="Arial" w:eastAsia="Arial" w:hAnsi="Arial"/>
          <w:b/>
          <w:bCs/>
          <w:sz w:val="28"/>
          <w:szCs w:val="28"/>
        </w:rPr>
        <w:t xml:space="preserve">Appendix D: License</w:t>
      </w:r>
    </w:p>
    <w:p>
      <w:pPr>
        <w:spacing w:before="120" w:after="120"/>
      </w:pPr>
      <w:r>
        <w:rPr>
          <w:rFonts w:ascii="Arial" w:cs="Arial" w:eastAsia="Arial" w:hAnsi="Arial"/>
          <w:sz w:val="22"/>
          <w:szCs w:val="22"/>
        </w:rPr>
        <w:t xml:space="preserve">This white paper and the 'Code' topologies defined herein are released under the Creative Commons Attribution-ShareAlike 4.0 International (CC-BY-SA 4.0) license.</w:t>
      </w:r>
    </w:p>
    <w:p>
      <w:pPr>
        <w:spacing w:before="120" w:after="120"/>
      </w:pPr>
      <w:r>
        <w:rPr>
          <w:rFonts w:ascii="Arial" w:cs="Arial" w:eastAsia="Arial" w:hAnsi="Arial"/>
          <w:sz w:val="22"/>
          <w:szCs w:val="22"/>
        </w:rPr>
        <w:t xml:space="preserve">You are free to share (copy and redistribute the material in any medium or format) and adapt (remix, transform, and build upon the material for any purpose, including commercial purposes) under the following terms:</w:t>
      </w:r>
    </w:p>
    <w:p>
      <w:pPr>
        <w:pStyle w:val="ListParagraph"/>
        <w:numPr>
          <w:ilvl w:val="0"/>
          <w:numId w:val="5"/>
        </w:numPr>
        <w:spacing w:before="60" w:after="60"/>
      </w:pPr>
      <w:r>
        <w:rPr>
          <w:rFonts w:ascii="Arial" w:cs="Arial" w:eastAsia="Arial" w:hAnsi="Arial"/>
          <w:sz w:val="22"/>
          <w:szCs w:val="22"/>
        </w:rPr>
        <w:t xml:space="preserve">Attribution: You must give appropriate credit, provide a link to the license, and indicate if changes were made.</w:t>
      </w:r>
    </w:p>
    <w:p>
      <w:pPr>
        <w:pStyle w:val="ListParagraph"/>
        <w:numPr>
          <w:ilvl w:val="0"/>
          <w:numId w:val="5"/>
        </w:numPr>
        <w:spacing w:before="60" w:after="60"/>
      </w:pPr>
      <w:r>
        <w:rPr>
          <w:rFonts w:ascii="Arial" w:cs="Arial" w:eastAsia="Arial" w:hAnsi="Arial"/>
          <w:sz w:val="22"/>
          <w:szCs w:val="22"/>
        </w:rPr>
        <w:t xml:space="preserve">ShareAlike: If you remix, transform, or build upon the material, you must distribute your contributions under the same license as the original.</w:t>
      </w:r>
    </w:p>
    <w:p>
      <w:pPr>
        <w:spacing w:before="120" w:after="120"/>
      </w:pPr>
      <w:r>
        <w:rPr>
          <w:rFonts w:ascii="Arial" w:cs="Arial" w:eastAsia="Arial" w:hAnsi="Arial"/>
          <w:sz w:val="22"/>
          <w:szCs w:val="22"/>
        </w:rPr>
        <w:t xml:space="preserve">The intent of this licensing choice is to encourage widespread adoption, adaptation, and improvement of the Open Mega-Drive Framework while ensuring that derivative works remain freely available to the engineering community.</w:t>
      </w:r>
    </w:p>
    <w:p>
      <w:pPr>
        <w:spacing w:before="200"/>
      </w:pPr>
      <w:r>
        <w:rPr>
          <w:rFonts w:ascii="Arial" w:cs="Arial" w:eastAsia="Arial" w:hAnsi="Arial"/>
          <w:sz w:val="22"/>
          <w:szCs w:val="22"/>
        </w:rPr>
        <w:t xml:space="preserve">For questions regarding licensing, consortium membership, or technical collaboration, contact: </w:t>
      </w:r>
      <w:r>
        <w:rPr>
          <w:rFonts w:ascii="Arial" w:cs="Arial" w:eastAsia="Arial" w:hAnsi="Arial"/>
          <w:b/>
          <w:bCs/>
          <w:sz w:val="22"/>
          <w:szCs w:val="22"/>
        </w:rPr>
        <w:t xml:space="preserve">aaron@garcia.ltd</w:t>
      </w:r>
    </w:p>
    <w:p>
      <w:pPr>
        <w:spacing w:before="400"/>
      </w:pPr>
    </w:p>
    <w:p>
      <w:pPr>
        <w:jc w:val="center"/>
      </w:pPr>
      <w:r>
        <w:rPr>
          <w:rFonts w:ascii="Arial" w:cs="Arial" w:eastAsia="Arial" w:hAnsi="Arial"/>
          <w:b/>
          <w:bCs/>
          <w:sz w:val="22"/>
          <w:szCs w:val="22"/>
        </w:rPr>
        <w:t xml:space="preserve">— END OF DOCUMENT —</w:t>
      </w:r>
    </w:p>
    <w:p>
      <w:pPr>
        <w:spacing w:before="100"/>
        <w:jc w:val="center"/>
      </w:pPr>
      <w:r>
        <w:rPr>
          <w:rFonts w:ascii="Arial" w:cs="Arial" w:eastAsia="Arial" w:hAnsi="Arial"/>
          <w:i/>
          <w:iCs/>
          <w:color w:val="666666"/>
          <w:sz w:val="20"/>
          <w:szCs w:val="20"/>
        </w:rPr>
        <w:t xml:space="preserve">Version 2.1 — January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CC-BY-SA 4.0  |  aaron@garcia.ltd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Open Mega-Drive Framework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7"/>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2026-01-05T19:24:45.314Z</dcterms:created>
  <dcterms:modified xsi:type="dcterms:W3CDTF">2026-01-05T19:24:45.315Z</dcterms:modified>
</cp:coreProperties>
</file>

<file path=docProps/custom.xml><?xml version="1.0" encoding="utf-8"?>
<Properties xmlns="http://schemas.openxmlformats.org/officeDocument/2006/custom-properties" xmlns:vt="http://schemas.openxmlformats.org/officeDocument/2006/docPropsVTypes"/>
</file>