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pStyle w:val="Title"/>
      </w:pPr>
      <w:r>
        <w:t xml:space="preserve">Pico-Scale Welding</w:t>
      </w:r>
    </w:p>
    <w:p>
      <w:pPr>
        <w:spacing w:before="240" w:after="480"/>
        <w:jc w:val="center"/>
      </w:pPr>
      <w:r>
        <w:rPr>
          <w:rFonts w:ascii="Arial" w:cs="Arial" w:eastAsia="Arial" w:hAnsi="Arial"/>
          <w:i/>
          <w:iCs/>
          <w:sz w:val="24"/>
          <w:szCs w:val="24"/>
        </w:rPr>
        <w:t xml:space="preserve">Nanoscale Material Joining: Feasibility Analysis and Architecture Down-Selection</w:t>
      </w:r>
    </w:p>
    <w:p>
      <w:pPr>
        <w:spacing w:before="720"/>
        <w:jc w:val="center"/>
      </w:pPr>
      <w:r>
        <w:rPr>
          <w:rFonts w:ascii="Arial" w:cs="Arial" w:eastAsia="Arial" w:hAnsi="Arial"/>
          <w:b/>
          <w:bCs/>
          <w:sz w:val="22"/>
          <w:szCs w:val="22"/>
        </w:rPr>
        <w:t xml:space="preserve">Technical Specification</w:t>
      </w:r>
    </w:p>
    <w:p>
      <w:pPr>
        <w:spacing w:before="120"/>
        <w:jc w:val="center"/>
      </w:pPr>
      <w:r>
        <w:rPr>
          <w:rFonts w:ascii="Arial" w:cs="Arial" w:eastAsia="Arial" w:hAnsi="Arial"/>
          <w:sz w:val="20"/>
          <w:szCs w:val="20"/>
        </w:rPr>
        <w:t xml:space="preserve">Document Reference: AG-2025-0104-5562</w:t>
      </w:r>
    </w:p>
    <w:p>
      <w:pPr>
        <w:spacing w:before="120"/>
        <w:jc w:val="center"/>
      </w:pPr>
      <w:r>
        <w:rPr>
          <w:rFonts w:ascii="Arial" w:cs="Arial" w:eastAsia="Arial" w:hAnsi="Arial"/>
          <w:sz w:val="20"/>
          <w:szCs w:val="20"/>
        </w:rPr>
        <w:t xml:space="preserve">January 2025 | Status: APPROVED FOR PHASE 1</w:t>
      </w:r>
    </w:p>
    <w:p>
      <w:pPr>
        <w:spacing w:before="720"/>
        <w:jc w:val="center"/>
      </w:pPr>
      <w:r>
        <w:rPr>
          <w:rFonts w:ascii="Arial" w:cs="Arial" w:eastAsia="Arial" w:hAnsi="Arial"/>
          <w:b/>
          <w:bCs/>
          <w:sz w:val="24"/>
          <w:szCs w:val="24"/>
        </w:rPr>
        <w:t xml:space="preserve">Aaron Garcia</w:t>
      </w:r>
    </w:p>
    <w:p>
      <w:pPr>
        <w:spacing w:before="60"/>
        <w:jc w:val="center"/>
      </w:pPr>
      <w:r>
        <w:rPr>
          <w:rFonts w:ascii="Arial" w:cs="Arial" w:eastAsia="Arial" w:hAnsi="Arial"/>
          <w:sz w:val="20"/>
          <w:szCs w:val="20"/>
        </w:rPr>
        <w:t xml:space="preserve">Independent Researcher</w:t>
      </w:r>
    </w:p>
    <w:p>
      <w:pPr>
        <w:spacing w:before="60"/>
        <w:jc w:val="center"/>
      </w:pPr>
      <w:r>
        <w:rPr>
          <w:rFonts w:ascii="Arial" w:cs="Arial" w:eastAsia="Arial" w:hAnsi="Arial"/>
          <w:sz w:val="20"/>
          <w:szCs w:val="20"/>
        </w:rPr>
        <w:t xml:space="preserve">aaron@garcia.ltd</w:t>
      </w:r>
    </w:p>
    <w:p>
      <w:r>
        <w:br w:type="page"/>
      </w:r>
    </w:p>
    <w:p>
      <w:pPr>
        <w:pStyle w:val="Heading1"/>
      </w:pPr>
      <w:r>
        <w:t xml:space="preserve">1. Overview</w:t>
      </w:r>
    </w:p>
    <w:p>
      <w:pPr>
        <w:spacing w:after="120"/>
      </w:pPr>
      <w:r>
        <w:rPr>
          <w:rFonts w:ascii="Arial" w:cs="Arial" w:eastAsia="Arial" w:hAnsi="Arial"/>
          <w:sz w:val="22"/>
          <w:szCs w:val="22"/>
        </w:rPr>
        <w:t xml:space="preserve">This document presents a feasibility analysis for pico-scale welding technology targeting precision material joining at the nanoscale. Following comprehensive technical review and stakeholder assessment, the Electrospray Nanowelding architecture has been approved for Phase 1 development, with alternative architectures (Atomic Fountain Deposition and Plasma Bridge Welding) terminated based on fundamental physics constraints.</w:t>
      </w:r>
    </w:p>
    <w:p>
      <w:pPr>
        <w:spacing w:after="120"/>
      </w:pPr>
      <w:r>
        <w:rPr>
          <w:rFonts w:ascii="Arial" w:cs="Arial" w:eastAsia="Arial" w:hAnsi="Arial"/>
          <w:sz w:val="22"/>
          <w:szCs w:val="22"/>
        </w:rPr>
        <w:t xml:space="preserve">The programme operates within a €670,000 envelope over 20 months, targeting Fan-Out Wafer-Level Packaging (FOWLP) redistribution layer (RDL) repair at line/space geometries of 2 μm and above. The assessed fragility of 78% (22% success probability) is consistent with exploratory R&amp;D at this budget scale, with risk characterised, bounded, and mitigated through defined fallback strategies.</w:t>
      </w:r>
    </w:p>
    <w:p>
      <w:pPr>
        <w:pStyle w:val="Heading1"/>
      </w:pPr>
      <w:r>
        <w:t xml:space="preserve">2. Operational Definitions</w:t>
      </w:r>
    </w:p>
    <w:p>
      <w:pPr>
        <w:pStyle w:val="Heading2"/>
      </w:pPr>
      <w:r>
        <w:t xml:space="preserve">2.1 Nanoscale Thermal Regime</w:t>
      </w:r>
    </w:p>
    <w:p>
      <w:pPr>
        <w:spacing w:after="120"/>
      </w:pPr>
      <w:r>
        <w:rPr>
          <w:rFonts w:ascii="Arial" w:cs="Arial" w:eastAsia="Arial" w:hAnsi="Arial"/>
          <w:sz w:val="22"/>
          <w:szCs w:val="22"/>
        </w:rPr>
        <w:t xml:space="preserve">The nanoscale thermal regime describes the length scale (1-100 nm) where classical heat conduction models break down. At these dimensions, ballistic phonon transport dominates, requiring the Two-Temperature Model (TTM) to describe electron-lattice energy exchange under ultrafast heating. Surface energy begins to dominate volume energy in material behaviour. This regime is operationally defined by the condition where the characteristic dimension is less than the electron or phonon mean free path (typically 10-50 nm for metals at room temperature).</w:t>
      </w:r>
    </w:p>
    <w:p>
      <w:pPr>
        <w:pStyle w:val="Heading2"/>
      </w:pPr>
      <w:r>
        <w:t xml:space="preserve">2.2 Precision Material Joining</w:t>
      </w:r>
    </w:p>
    <w:p>
      <w:pPr>
        <w:spacing w:after="120"/>
      </w:pPr>
      <w:r>
        <w:rPr>
          <w:rFonts w:ascii="Arial" w:cs="Arial" w:eastAsia="Arial" w:hAnsi="Arial"/>
          <w:sz w:val="22"/>
          <w:szCs w:val="22"/>
        </w:rPr>
        <w:t xml:space="preserve">Precision is defined relative to quantified baselines: achieving positional accuracy of ±50 nm (1σ) and volumetric control within ±20% of target. This compares to Focused Ion Beam Induced Deposition (FIBID) benchmarks of ±10 nm positional accuracy and ±10% volumetric control.</w:t>
      </w:r>
    </w:p>
    <w:p>
      <w:pPr>
        <w:pStyle w:val="Heading2"/>
      </w:pPr>
      <w:r>
        <w:t xml:space="preserve">2.3 Heat-Affected Zone Target Derivation</w:t>
      </w:r>
    </w:p>
    <w:p>
      <w:pPr>
        <w:spacing w:after="120"/>
      </w:pPr>
      <w:r>
        <w:rPr>
          <w:rFonts w:ascii="Arial" w:cs="Arial" w:eastAsia="Arial" w:hAnsi="Arial"/>
          <w:sz w:val="22"/>
          <w:szCs w:val="22"/>
        </w:rPr>
        <w:t xml:space="preserve">The 500 nm Heat-Affected Zone (HAZ) target derives from three independent constraints. First, TTM electron diffusion length: under femtosecond laser heating, hot electrons diffuse at near-Fermi velocity for approximately 50 ps before equilibrating with the lattice, yielding a diffusion length of approximately 70 nm with a 2× safety factor providing a conservative bound of 140 nm. Second, superconducting coherence length: for Al-based Josephson junctions, the coherence length in the dirty limit is 300-400 nm, requiring HAZ to exceed this value. Third, competitive parity: LoTIS-FIBID achieves HAZ of 200-500 nm. The 500 nm target represents the intersection of physical limits, application requirements, and competitive positioning.</w:t>
      </w:r>
    </w:p>
    <w:p>
      <w:pPr>
        <w:pStyle w:val="Heading2"/>
      </w:pPr>
      <w:r>
        <w:t xml:space="preserve">2.4 Production Density</w:t>
      </w:r>
    </w:p>
    <w:p>
      <w:pPr>
        <w:spacing w:after="60"/>
      </w:pPr>
      <w:r>
        <w:rPr>
          <w:rFonts w:ascii="Arial" w:cs="Arial" w:eastAsia="Arial" w:hAnsi="Arial"/>
          <w:sz w:val="22"/>
          <w:szCs w:val="22"/>
        </w:rPr>
        <w:t xml:space="preserve">Production density means electrical resistivity within 3× of bulk material value, measured via 4-point probe: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Material</w:t>
            </w:r>
          </w:p>
        </w:tc>
        <w:tc>
          <w:tcPr>
            <w:tcW w:type="dxa" w:w="312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Bulk Resistivity</w:t>
            </w:r>
          </w:p>
        </w:tc>
        <w:tc>
          <w:tcPr>
            <w:tcW w:type="dxa" w:w="312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Target (≤3×)</w:t>
            </w:r>
          </w:p>
        </w:tc>
      </w:tr>
      <w:tr>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Au</w:t>
            </w:r>
          </w:p>
        </w:tc>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2.2 μΩ·cm</w:t>
            </w:r>
          </w:p>
        </w:tc>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≤6.6 μΩ·cm</w:t>
            </w:r>
          </w:p>
        </w:tc>
      </w:tr>
      <w:tr>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Cu</w:t>
            </w:r>
          </w:p>
        </w:tc>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1.7 μΩ·cm</w:t>
            </w:r>
          </w:p>
        </w:tc>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≤5.1 μΩ·cm</w:t>
            </w:r>
          </w:p>
        </w:tc>
      </w:tr>
      <w:tr>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w:t>
            </w:r>
          </w:p>
        </w:tc>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1.6 μΩ·cm</w:t>
            </w:r>
          </w:p>
        </w:tc>
        <w:tc>
          <w:tcPr>
            <w:tcW w:type="dxa" w:w="312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≤4.8 μΩ·cm</w:t>
            </w:r>
          </w:p>
        </w:tc>
      </w:tr>
    </w:tbl>
    <w:p>
      <w:pPr>
        <w:spacing w:after="120"/>
      </w:pPr>
    </w:p>
    <w:p>
      <w:pPr>
        <w:pStyle w:val="Heading2"/>
      </w:pPr>
      <w:r>
        <w:t xml:space="preserve">2.5 Material-Specific Performance Expectations</w:t>
      </w:r>
    </w:p>
    <w:p>
      <w:pPr>
        <w:spacing w:after="60"/>
      </w:pPr>
      <w:r>
        <w:rPr>
          <w:rFonts w:ascii="Arial" w:cs="Arial" w:eastAsia="Arial" w:hAnsi="Arial"/>
          <w:sz w:val="22"/>
          <w:szCs w:val="22"/>
        </w:rPr>
        <w:t xml:space="preserve">Positioning performance varies by material due to oxidation and sintering characteristics: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360"/>
      </w:tblGrid>
      <w:tr>
        <w:tc>
          <w:tcPr>
            <w:tcW w:type="dxa" w:w="2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Material</w:t>
            </w:r>
          </w:p>
        </w:tc>
        <w:tc>
          <w:tcPr>
            <w:tcW w:type="dxa" w:w="25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Expected Positioning</w:t>
            </w:r>
          </w:p>
        </w:tc>
        <w:tc>
          <w:tcPr>
            <w:tcW w:type="dxa" w:w="25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Application Viability</w:t>
            </w:r>
          </w:p>
        </w:tc>
        <w:tc>
          <w:tcPr>
            <w:tcW w:type="dxa" w:w="23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Notes</w:t>
            </w:r>
          </w:p>
        </w:tc>
      </w:tr>
      <w:tr>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Au</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 nm - 2 μm</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PRIMARY TARGET</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Best-characterised; lowest oxidation</w:t>
            </w:r>
          </w:p>
        </w:tc>
      </w:tr>
      <w:tr>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1 - 3 μm</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PRIMARY TARGET</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Slightly higher variability</w:t>
            </w:r>
          </w:p>
        </w:tc>
      </w:tr>
      <w:tr>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Cu</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2 - 5 μm</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FALLBACK</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Oxidation increases spread</w:t>
            </w:r>
          </w:p>
        </w:tc>
      </w:tr>
      <w:tr>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SnAgCu solder</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3 - 8 μm</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MARGINAL</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Multi-phase sintering challenges</w:t>
            </w:r>
          </w:p>
        </w:tc>
      </w:tr>
    </w:tbl>
    <w:p>
      <w:pPr>
        <w:spacing w:before="120" w:after="120"/>
      </w:pPr>
      <w:r>
        <w:rPr>
          <w:rFonts w:ascii="Arial" w:cs="Arial" w:eastAsia="Arial" w:hAnsi="Arial"/>
          <w:sz w:val="22"/>
          <w:szCs w:val="22"/>
        </w:rPr>
        <w:t xml:space="preserve">Programme viability requires Au positioning below 5 μm. Catastrophic threshold is defined as Au positioning exceeding 20 μm, indicating fundamental process failure.</w:t>
      </w:r>
    </w:p>
    <w:p>
      <w:pPr>
        <w:pStyle w:val="Heading1"/>
      </w:pPr>
      <w:r>
        <w:t xml:space="preserve">3. Architecture Status</w:t>
      </w:r>
    </w:p>
    <w:p>
      <w:pPr>
        <w:spacing w:after="60"/>
      </w:pPr>
      <w:r>
        <w:rPr>
          <w:rFonts w:ascii="Arial" w:cs="Arial" w:eastAsia="Arial" w:hAnsi="Arial"/>
          <w:sz w:val="22"/>
          <w:szCs w:val="22"/>
        </w:rPr>
        <w:t xml:space="preserve">Three candidate architectures were evaluated. Final status: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Architecture</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Status</w:t>
            </w:r>
          </w:p>
        </w:tc>
        <w:tc>
          <w:tcPr>
            <w:tcW w:type="dxa" w:w="4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Rationale</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Atomic Fountain Deposition</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TERMINATED</w:t>
            </w:r>
          </w:p>
        </w:tc>
        <w:tc>
          <w:tcPr>
            <w:tcW w:type="dxa" w:w="4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No closed cycling transitions for Au/Cu/Al</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Plasma Bridge Welding</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TERMINATED</w:t>
            </w:r>
          </w:p>
        </w:tc>
        <w:tc>
          <w:tcPr>
            <w:tcW w:type="dxa" w:w="4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Stochastic tunnelling; substrate damage</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Electrospray Nanowelding</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APPROVED</w:t>
            </w:r>
          </w:p>
        </w:tc>
        <w:tc>
          <w:tcPr>
            <w:tcW w:type="dxa" w:w="4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Physics valid; niche applications viable</w:t>
            </w:r>
          </w:p>
        </w:tc>
      </w:tr>
    </w:tbl>
    <w:p>
      <w:pPr>
        <w:spacing w:after="120"/>
      </w:pPr>
    </w:p>
    <w:p>
      <w:pPr>
        <w:pStyle w:val="Heading1"/>
      </w:pPr>
      <w:r>
        <w:t xml:space="preserve">4. Technical Requirements</w:t>
      </w:r>
    </w:p>
    <w:p>
      <w:pPr>
        <w:pStyle w:val="Heading2"/>
      </w:pPr>
      <w:r>
        <w:t xml:space="preserve">4.1 Sintering Parameters</w:t>
      </w:r>
    </w:p>
    <w:p>
      <w:pPr>
        <w:spacing w:after="60"/>
      </w:pPr>
      <w:r>
        <w:rPr>
          <w:rFonts w:ascii="Arial" w:cs="Arial" w:eastAsia="Arial" w:hAnsi="Arial"/>
          <w:sz w:val="22"/>
          <w:szCs w:val="22"/>
        </w:rPr>
        <w:t xml:space="preserve">Target sintering times are based on published experimental data: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400"/>
        <w:gridCol w:w="1400"/>
        <w:gridCol w:w="2160"/>
      </w:tblGrid>
      <w:tr>
        <w:tc>
          <w:tcPr>
            <w:tcW w:type="dxa" w:w="2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Source</w:t>
            </w:r>
          </w:p>
        </w:tc>
        <w:tc>
          <w:tcPr>
            <w:tcW w:type="dxa" w:w="16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Material</w:t>
            </w:r>
          </w:p>
        </w:tc>
        <w:tc>
          <w:tcPr>
            <w:tcW w:type="dxa" w:w="1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Size</w:t>
            </w:r>
          </w:p>
        </w:tc>
        <w:tc>
          <w:tcPr>
            <w:tcW w:type="dxa" w:w="1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Time</w:t>
            </w:r>
          </w:p>
        </w:tc>
        <w:tc>
          <w:tcPr>
            <w:tcW w:type="dxa" w:w="21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Resistivity</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Ko et al. 2007</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Au</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 nm</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60 s</w:t>
            </w:r>
          </w:p>
        </w:tc>
        <w:tc>
          <w:tcPr>
            <w:tcW w:type="dxa" w:w="21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4.8× bulk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Perelaer et al. 2012</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40 nm</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120 s</w:t>
            </w:r>
          </w:p>
        </w:tc>
        <w:tc>
          <w:tcPr>
            <w:tcW w:type="dxa" w:w="21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 bulk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Kang et al. 2018</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Cu</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20 nm</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180 s</w:t>
            </w:r>
          </w:p>
        </w:tc>
        <w:tc>
          <w:tcPr>
            <w:tcW w:type="dxa" w:w="21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3.2× bulk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This programme (target)</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Au</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30 nm</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90 s</w:t>
            </w:r>
          </w:p>
        </w:tc>
        <w:tc>
          <w:tcPr>
            <w:tcW w:type="dxa" w:w="21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 bulk</w:t>
            </w:r>
          </w:p>
        </w:tc>
      </w:tr>
    </w:tbl>
    <w:p>
      <w:pPr>
        <w:spacing w:before="120" w:after="120"/>
      </w:pPr>
      <w:r>
        <w:rPr>
          <w:rFonts w:ascii="Arial" w:cs="Arial" w:eastAsia="Arial" w:hAnsi="Arial"/>
          <w:i/>
          <w:iCs/>
          <w:sz w:val="22"/>
          <w:szCs w:val="22"/>
        </w:rPr>
        <w:t xml:space="preserve">Note: FOWLP RDL repair occurs on heterogeneous surfaces versus controlled substrates in published literature. Phase 1 will characterise actual sintering on FOWLP test structures; if sintering times exceed 180 seconds, cycle time targets are invalidated.</w:t>
      </w:r>
    </w:p>
    <w:p>
      <w:pPr>
        <w:pStyle w:val="Heading2"/>
      </w:pPr>
      <w:r>
        <w:t xml:space="preserve">4.2 Tail Latency Budget</w:t>
      </w:r>
    </w:p>
    <w:p>
      <w:pPr>
        <w:spacing w:after="60"/>
      </w:pPr>
      <w:r>
        <w:rPr>
          <w:rFonts w:ascii="Arial" w:cs="Arial" w:eastAsia="Arial" w:hAnsi="Arial"/>
          <w:sz w:val="22"/>
          <w:szCs w:val="22"/>
        </w:rPr>
        <w:t xml:space="preserve">Cycle time variance distribution for production planning: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00"/>
        <w:gridCol w:w="3160"/>
      </w:tblGrid>
      <w:tr>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Percentile</w:t>
            </w:r>
          </w:p>
        </w:tc>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Sintering Time</w:t>
            </w:r>
          </w:p>
        </w:tc>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Total Cycle</w:t>
            </w:r>
          </w:p>
        </w:tc>
        <w:tc>
          <w:tcPr>
            <w:tcW w:type="dxa" w:w="31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Impact</w:t>
            </w:r>
          </w:p>
        </w:tc>
      </w:tr>
      <w:tr>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P50 (median)</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90 s</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3.5 min</w:t>
            </w:r>
          </w:p>
        </w:tc>
        <w:tc>
          <w:tcPr>
            <w:tcW w:type="dxa" w:w="31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Normal operation</w:t>
            </w:r>
          </w:p>
        </w:tc>
      </w:tr>
      <w:tr>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P90</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150 s</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5.5 min</w:t>
            </w:r>
          </w:p>
        </w:tc>
        <w:tc>
          <w:tcPr>
            <w:tcW w:type="dxa" w:w="31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Schedule buffer required</w:t>
            </w:r>
          </w:p>
        </w:tc>
      </w:tr>
      <w:tr>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P99</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240 s</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8.5 min</w:t>
            </w:r>
          </w:p>
        </w:tc>
        <w:tc>
          <w:tcPr>
            <w:tcW w:type="dxa" w:w="31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Alarm; investigate root cause</w:t>
            </w:r>
          </w:p>
        </w:tc>
      </w:tr>
      <w:tr>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P99.9</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&gt;300 s</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&gt;10 min</w:t>
            </w:r>
          </w:p>
        </w:tc>
        <w:tc>
          <w:tcPr>
            <w:tcW w:type="dxa" w:w="31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Abort joint; flag for review</w:t>
            </w:r>
          </w:p>
        </w:tc>
      </w:tr>
    </w:tbl>
    <w:p>
      <w:pPr>
        <w:spacing w:before="120" w:after="120"/>
      </w:pPr>
      <w:r>
        <w:rPr>
          <w:rFonts w:ascii="Arial" w:cs="Arial" w:eastAsia="Arial" w:hAnsi="Arial"/>
          <w:sz w:val="22"/>
          <w:szCs w:val="22"/>
        </w:rPr>
        <w:t xml:space="preserve">P99 events are expected approximately 1 in 100 joints. At 60 joints per day, this means approximately 1 P99 event every 2 days. Systems must accommodate without operator intervention. Schedule planning assumes 10% buffer for tail latency, yielding effective throughput of 54 joints per day.</w:t>
      </w:r>
    </w:p>
    <w:p>
      <w:pPr>
        <w:pStyle w:val="Heading1"/>
      </w:pPr>
      <w:r>
        <w:t xml:space="preserve">5. Implementation Approach</w:t>
      </w:r>
    </w:p>
    <w:p>
      <w:pPr>
        <w:pStyle w:val="Heading2"/>
      </w:pPr>
      <w:r>
        <w:t xml:space="preserve">5.1 Phase 1 Budget (€670,000 Envelope)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1800"/>
        <w:gridCol w:w="1760"/>
      </w:tblGrid>
      <w:tr>
        <w:tc>
          <w:tcPr>
            <w:tcW w:type="dxa" w:w="4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Line Item</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Base</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Contingency</w:t>
            </w:r>
          </w:p>
        </w:tc>
        <w:tc>
          <w:tcPr>
            <w:tcW w:type="dxa" w:w="17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Envelope</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Personnel (2 FTE × 20 mo)</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€300,000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€30,000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€330,000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Electrospray source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€80,000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€90,000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Femtosecond laser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€60,000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€110,000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Positioning stage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€35,000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€40,000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Metrology</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€30,000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Consumables</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€20,000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Shadow hire (0.5 FTE × 20 mo)</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€55,000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LoTIS deposit</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zeroK price reserve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€10,000</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COMMITMENT AUTHORITY</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€550,000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CONTINGENCY (ring-fenced)</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€120,000</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TOTAL ENVELOPE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€670,000</w:t>
            </w:r>
          </w:p>
        </w:tc>
      </w:tr>
    </w:tbl>
    <w:p>
      <w:pPr>
        <w:spacing w:after="120"/>
      </w:pPr>
    </w:p>
    <w:p>
      <w:pPr>
        <w:pStyle w:val="Heading2"/>
      </w:pPr>
      <w:r>
        <w:t xml:space="preserve">5.2 J-Curve Cost Model</w:t>
      </w:r>
    </w:p>
    <w:p>
      <w:pPr>
        <w:spacing w:after="60"/>
      </w:pPr>
      <w:r>
        <w:rPr>
          <w:rFonts w:ascii="Arial" w:cs="Arial" w:eastAsia="Arial" w:hAnsi="Arial"/>
          <w:sz w:val="22"/>
          <w:szCs w:val="22"/>
        </w:rPr>
        <w:t xml:space="preserve">Cost per joint follows a worse-before-better trajectory: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000"/>
        <w:gridCol w:w="3560"/>
      </w:tblGrid>
      <w:tr>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Phase</w:t>
            </w:r>
          </w:p>
        </w:tc>
        <w:tc>
          <w:tcPr>
            <w:tcW w:type="dxa" w:w="16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Period</w:t>
            </w:r>
          </w:p>
        </w:tc>
        <w:tc>
          <w:tcPr>
            <w:tcW w:type="dxa" w:w="2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Cost/Joint</w:t>
            </w:r>
          </w:p>
        </w:tc>
        <w:tc>
          <w:tcPr>
            <w:tcW w:type="dxa" w:w="3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Explanation</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Integration friction</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M1-6</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 (no joints)</w:t>
            </w:r>
          </w:p>
        </w:tc>
        <w:tc>
          <w:tcPr>
            <w:tcW w:type="dxa" w:w="3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System assembly; no production</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Early prototype</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M7-12</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€500-1000</w:t>
            </w:r>
          </w:p>
        </w:tc>
        <w:tc>
          <w:tcPr>
            <w:tcW w:type="dxa" w:w="3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Low yield; high rework; learning curve</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Late prototype</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M13-18</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€100-200</w:t>
            </w:r>
          </w:p>
        </w:tc>
        <w:tc>
          <w:tcPr>
            <w:tcW w:type="dxa" w:w="3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Process stabilisation; improving yield</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Phase 1 exit</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M19-20</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€50-80</w:t>
            </w:r>
          </w:p>
        </w:tc>
        <w:tc>
          <w:tcPr>
            <w:tcW w:type="dxa" w:w="3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Demonstration-grade; not production</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Phase 2 target</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M24-36</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€20-35</w:t>
            </w:r>
          </w:p>
        </w:tc>
        <w:tc>
          <w:tcPr>
            <w:tcW w:type="dxa" w:w="3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Production-grade with optimisation</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Mature system</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Year 3+</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€10-20</w:t>
            </w:r>
          </w:p>
        </w:tc>
        <w:tc>
          <w:tcPr>
            <w:tcW w:type="dxa" w:w="3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Requires Phase 2 investment</w:t>
            </w:r>
          </w:p>
        </w:tc>
      </w:tr>
    </w:tbl>
    <w:p>
      <w:pPr>
        <w:spacing w:after="120"/>
      </w:pPr>
    </w:p>
    <w:p>
      <w:pPr>
        <w:pStyle w:val="Heading2"/>
      </w:pPr>
      <w:r>
        <w:t xml:space="preserve">5.3 Utilisation Factor Analysis</w:t>
      </w:r>
    </w:p>
    <w:p>
      <w:pPr>
        <w:spacing w:after="60"/>
      </w:pPr>
      <w:r>
        <w:rPr>
          <w:rFonts w:ascii="Arial" w:cs="Arial" w:eastAsia="Arial" w:hAnsi="Arial"/>
          <w:sz w:val="22"/>
          <w:szCs w:val="22"/>
        </w:rPr>
        <w:t xml:space="preserve">Unit economics sensitivity to equipment utilisation: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1800"/>
        <w:gridCol w:w="1560"/>
      </w:tblGrid>
      <w:tr>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Scenario</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Utilisation</w:t>
            </w:r>
          </w:p>
        </w:tc>
        <w:tc>
          <w:tcPr>
            <w:tcW w:type="dxa" w:w="2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Effective Hours</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Joints/Day</w:t>
            </w:r>
          </w:p>
        </w:tc>
        <w:tc>
          <w:tcPr>
            <w:tcW w:type="dxa" w:w="1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Cost/Joint</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Ideal (100%)</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100%</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8.0 hr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60</w:t>
            </w:r>
          </w:p>
        </w:tc>
        <w:tc>
          <w:tcPr>
            <w:tcW w:type="dxa" w:w="1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€33</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High utilisation</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80%</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6.4 hr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48</w:t>
            </w:r>
          </w:p>
        </w:tc>
        <w:tc>
          <w:tcPr>
            <w:tcW w:type="dxa" w:w="1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€42</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Typical fab</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65%</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5.2 hr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39</w:t>
            </w:r>
          </w:p>
        </w:tc>
        <w:tc>
          <w:tcPr>
            <w:tcW w:type="dxa" w:w="156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€51</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Low utilisation</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4.0 hr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30</w:t>
            </w:r>
          </w:p>
        </w:tc>
        <w:tc>
          <w:tcPr>
            <w:tcW w:type="dxa" w:w="1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€67</w:t>
            </w:r>
          </w:p>
        </w:tc>
      </w:tr>
    </w:tbl>
    <w:p>
      <w:pPr>
        <w:spacing w:before="120" w:after="120"/>
      </w:pPr>
      <w:r>
        <w:rPr>
          <w:rFonts w:ascii="Arial" w:cs="Arial" w:eastAsia="Arial" w:hAnsi="Arial"/>
          <w:sz w:val="22"/>
          <w:szCs w:val="22"/>
        </w:rPr>
        <w:t xml:space="preserve">Planning assumption: 65% utilisation (typical fab environment with changeovers, maintenance, calibration). Effective cost €51/joint in Phase 2 mature state. Business case requires packages with scrap value exceeding €150.</w:t>
      </w:r>
    </w:p>
    <w:p>
      <w:pPr>
        <w:pStyle w:val="Heading2"/>
      </w:pPr>
      <w:r>
        <w:t xml:space="preserve">5.4 Five-Year Lifecycle Cost Model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100"/>
        <w:gridCol w:w="1100"/>
        <w:gridCol w:w="1100"/>
        <w:gridCol w:w="1100"/>
        <w:gridCol w:w="1100"/>
        <w:gridCol w:w="1060"/>
      </w:tblGrid>
      <w:tr>
        <w:tc>
          <w:tcPr>
            <w:tcW w:type="dxa" w:w="2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Cost Category</w:t>
            </w:r>
          </w:p>
        </w:tc>
        <w:tc>
          <w:tcPr>
            <w:tcW w:type="dxa" w:w="11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Year 1</w:t>
            </w:r>
          </w:p>
        </w:tc>
        <w:tc>
          <w:tcPr>
            <w:tcW w:type="dxa" w:w="11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Year 2</w:t>
            </w:r>
          </w:p>
        </w:tc>
        <w:tc>
          <w:tcPr>
            <w:tcW w:type="dxa" w:w="11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Year 3</w:t>
            </w:r>
          </w:p>
        </w:tc>
        <w:tc>
          <w:tcPr>
            <w:tcW w:type="dxa" w:w="11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Year 4</w:t>
            </w:r>
          </w:p>
        </w:tc>
        <w:tc>
          <w:tcPr>
            <w:tcW w:type="dxa" w:w="11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Year 5</w:t>
            </w:r>
          </w:p>
        </w:tc>
        <w:tc>
          <w:tcPr>
            <w:tcW w:type="dxa" w:w="10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5-Year</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Phase 1 (this proposal)</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€550k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€120k*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0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€670k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Phase 2 development</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€400k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€300k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0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€700k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Equipment (production unit)</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€800k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0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€800k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Personnel (1.5 FTE ops)</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€75k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€115k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€115k</w:t>
            </w:r>
          </w:p>
        </w:tc>
        <w:tc>
          <w:tcPr>
            <w:tcW w:type="dxa" w:w="10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€305k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Consumables</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€50k</w:t>
            </w:r>
          </w:p>
        </w:tc>
        <w:tc>
          <w:tcPr>
            <w:tcW w:type="dxa" w:w="10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€130k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Maintenance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€80k</w:t>
            </w:r>
          </w:p>
        </w:tc>
        <w:tc>
          <w:tcPr>
            <w:tcW w:type="dxa" w:w="10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€200k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Facility (cleanroom allocation)</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€25k</w:t>
            </w:r>
          </w:p>
        </w:tc>
        <w:tc>
          <w:tcPr>
            <w:tcW w:type="dxa" w:w="10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€75k</w:t>
            </w:r>
          </w:p>
        </w:tc>
      </w:tr>
      <w:tr>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CUMULATIVE</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€550k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€1,070k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€2,340k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€2,610k</w:t>
            </w:r>
          </w:p>
        </w:tc>
        <w:tc>
          <w:tcPr>
            <w:tcW w:type="dxa" w:w="11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€2,880k</w:t>
            </w:r>
          </w:p>
        </w:tc>
        <w:tc>
          <w:tcPr>
            <w:tcW w:type="dxa" w:w="106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€2,880k</w:t>
            </w:r>
          </w:p>
        </w:tc>
      </w:tr>
    </w:tbl>
    <w:p>
      <w:pPr>
        <w:spacing w:before="60" w:after="120"/>
      </w:pPr>
      <w:r>
        <w:rPr>
          <w:rFonts w:ascii="Arial" w:cs="Arial" w:eastAsia="Arial" w:hAnsi="Arial"/>
          <w:i/>
          <w:iCs/>
          <w:sz w:val="20"/>
          <w:szCs w:val="20"/>
        </w:rPr>
        <w:t xml:space="preserve">*Year 2 includes Phase 1 contingency draw if required. Breakeven at €51/joint requires approximately 56,000 joints over 5 years (approximately 15,000 joints/year in Years 3-5).</w:t>
      </w:r>
    </w:p>
    <w:p>
      <w:pPr>
        <w:pStyle w:val="Heading1"/>
      </w:pPr>
      <w:r>
        <w:t xml:space="preserve">6. Market Validation</w:t>
      </w:r>
    </w:p>
    <w:p>
      <w:pPr>
        <w:pStyle w:val="Heading2"/>
      </w:pPr>
      <w:r>
        <w:t xml:space="preserve">6.1 Primary Market: FOWLP RDL Repair</w:t>
      </w:r>
    </w:p>
    <w:p>
      <w:pPr>
        <w:spacing w:after="60"/>
      </w:pPr>
      <w:r>
        <w:rPr>
          <w:rFonts w:ascii="Arial" w:cs="Arial" w:eastAsia="Arial" w:hAnsi="Arial"/>
          <w:sz w:val="22"/>
          <w:szCs w:val="22"/>
        </w:rPr>
        <w:t xml:space="preserve">Market parameters derived from primary sources: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Parameter</w:t>
            </w:r>
          </w:p>
        </w:tc>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Value</w:t>
            </w:r>
          </w:p>
        </w:tc>
        <w:tc>
          <w:tcPr>
            <w:tcW w:type="dxa" w:w="39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Source (Primary)</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Global FOWLP market</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$4.2B (2024)</w:t>
            </w:r>
          </w:p>
        </w:tc>
        <w:tc>
          <w:tcPr>
            <w:tcW w:type="dxa" w:w="3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Yole Advanced Packaging 2023</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RDL defect rate</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w:t>
            </w:r>
          </w:p>
        </w:tc>
        <w:tc>
          <w:tcPr>
            <w:tcW w:type="dxa" w:w="3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TSMC 2023 ESG Report</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Repairable fraction</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25-40%</w:t>
            </w:r>
          </w:p>
        </w:tc>
        <w:tc>
          <w:tcPr>
            <w:tcW w:type="dxa" w:w="3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ASE 2022, Amkor Q3 2023, Yole 2023</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SAM at €51/joint</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~$4-6M/yr</w:t>
            </w:r>
          </w:p>
        </w:tc>
        <w:tc>
          <w:tcPr>
            <w:tcW w:type="dxa" w:w="3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Packages with scrap &gt;$150</w:t>
            </w:r>
          </w:p>
        </w:tc>
      </w:tr>
    </w:tbl>
    <w:p>
      <w:pPr>
        <w:spacing w:after="120"/>
      </w:pPr>
    </w:p>
    <w:p>
      <w:pPr>
        <w:pStyle w:val="Heading2"/>
      </w:pPr>
      <w:r>
        <w:t xml:space="preserve">6.2 Market Positioning</w:t>
      </w:r>
    </w:p>
    <w:p>
      <w:pPr>
        <w:spacing w:after="120"/>
      </w:pPr>
      <w:r>
        <w:rPr>
          <w:rFonts w:ascii="Arial" w:cs="Arial" w:eastAsia="Arial" w:hAnsi="Arial"/>
          <w:sz w:val="22"/>
          <w:szCs w:val="22"/>
        </w:rPr>
        <w:t xml:space="preserve">Electrospray targets sub-5 μm repair where traditional wire bonding (applicable at &gt;10 μm scale) is not feasible. This represents market expansion into currently unserved segments, not displacement of existing solutions. If Electrospray achieves only &gt;10 μm positioning, it offers no value over existing wire bonding and the programme should terminate.</w:t>
      </w:r>
    </w:p>
    <w:p>
      <w:pPr>
        <w:pStyle w:val="Heading2"/>
      </w:pPr>
      <w:r>
        <w:t xml:space="preserve">6.3 Atmospheric Operation Trade-offs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800"/>
        <w:gridCol w:w="1760"/>
      </w:tblGrid>
      <w:tr>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Factor</w:t>
            </w:r>
          </w:p>
        </w:tc>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UHV (FIBID)</w:t>
            </w:r>
          </w:p>
        </w:tc>
        <w:tc>
          <w:tcPr>
            <w:tcW w:type="dxa" w:w="2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Ambient (Electrospray)</w:t>
            </w:r>
          </w:p>
        </w:tc>
        <w:tc>
          <w:tcPr>
            <w:tcW w:type="dxa" w:w="17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Assessment</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Particulate</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None</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ISO Class 5 glovebox</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Disadvantage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Oxide formation</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Minimal</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N₂ purge required</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Disadvantage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Facility cost</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€185-280k</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€55-105k</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€100-175k advantage</w:t>
            </w:r>
          </w:p>
        </w:tc>
      </w:tr>
    </w:tbl>
    <w:p>
      <w:pPr>
        <w:spacing w:after="120"/>
      </w:pPr>
    </w:p>
    <w:p>
      <w:pPr>
        <w:pStyle w:val="Heading1"/>
      </w:pPr>
      <w:r>
        <w:t xml:space="preserve">7. Regulatory and Liability Framework</w:t>
      </w:r>
    </w:p>
    <w:p>
      <w:pPr>
        <w:pStyle w:val="Heading2"/>
      </w:pPr>
      <w:r>
        <w:t xml:space="preserve">7.1 Liability Assignment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800"/>
        <w:gridCol w:w="2760"/>
      </w:tblGrid>
      <w:tr>
        <w:tc>
          <w:tcPr>
            <w:tcW w:type="dxa" w:w="26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Failure Mode</w:t>
            </w:r>
          </w:p>
        </w:tc>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Primary Liable Party</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Secondary</w:t>
            </w:r>
          </w:p>
        </w:tc>
        <w:tc>
          <w:tcPr>
            <w:tcW w:type="dxa" w:w="27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Contractual Mechanism</w:t>
            </w:r>
          </w:p>
        </w:tc>
      </w:tr>
      <w:tr>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Equipment malfunction</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Equipment Vendor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Standard product warranty</w:t>
            </w:r>
          </w:p>
        </w:tc>
      </w:tr>
      <w:tr>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Operator error</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Repair Operator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PI insurance required</w:t>
            </w:r>
          </w:p>
        </w:tc>
      </w:tr>
      <w:tr>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Recipe defect (vendor)</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Equipment Vendor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Recipe warranty clause</w:t>
            </w:r>
          </w:p>
        </w:tc>
      </w:tr>
      <w:tr>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Recipe defect (modified)</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Repair Operator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Modification log + waiver</w:t>
            </w:r>
          </w:p>
        </w:tc>
      </w:tr>
      <w:tr>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Repaired device field failure</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Repair Operator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OEM (spec)</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Indemnification clause</w:t>
            </w:r>
          </w:p>
        </w:tc>
      </w:tr>
    </w:tbl>
    <w:p>
      <w:pPr>
        <w:spacing w:after="120"/>
      </w:pPr>
    </w:p>
    <w:p>
      <w:pPr>
        <w:pStyle w:val="Heading2"/>
      </w:pPr>
      <w:r>
        <w:t xml:space="preserve">7.2 Professional Indemnity Requirements</w:t>
      </w:r>
    </w:p>
    <w:p>
      <w:pPr>
        <w:pStyle w:val="ListParagraph"/>
        <w:numPr>
          <w:ilvl w:val="0"/>
          <w:numId w:val="2"/>
        </w:numPr>
      </w:pPr>
      <w:r>
        <w:rPr>
          <w:rFonts w:ascii="Arial" w:cs="Arial" w:eastAsia="Arial" w:hAnsi="Arial"/>
          <w:sz w:val="22"/>
          <w:szCs w:val="22"/>
        </w:rPr>
        <w:t xml:space="preserve">Equipment purchaser: €5M PI coverage required before equipment shipment</w:t>
      </w:r>
    </w:p>
    <w:p>
      <w:pPr>
        <w:pStyle w:val="ListParagraph"/>
        <w:numPr>
          <w:ilvl w:val="0"/>
          <w:numId w:val="2"/>
        </w:numPr>
      </w:pPr>
      <w:r>
        <w:rPr>
          <w:rFonts w:ascii="Arial" w:cs="Arial" w:eastAsia="Arial" w:hAnsi="Arial"/>
          <w:sz w:val="22"/>
          <w:szCs w:val="22"/>
        </w:rPr>
        <w:t xml:space="preserve">Service provider: €10M PI coverage; annual certificate to customers</w:t>
      </w:r>
    </w:p>
    <w:p>
      <w:pPr>
        <w:spacing w:after="120"/>
      </w:pPr>
    </w:p>
    <w:p>
      <w:pPr>
        <w:pStyle w:val="Heading1"/>
      </w:pPr>
      <w:r>
        <w:t xml:space="preserve">8. Organisational and Staffing Plan</w:t>
      </w:r>
    </w:p>
    <w:p>
      <w:pPr>
        <w:pStyle w:val="Heading2"/>
      </w:pPr>
      <w:r>
        <w:t xml:space="preserve">8.1 Shadow Hire Execution</w:t>
      </w:r>
    </w:p>
    <w:p>
      <w:pPr>
        <w:spacing w:after="60"/>
      </w:pPr>
      <w:r>
        <w:rPr>
          <w:rFonts w:ascii="Arial" w:cs="Arial" w:eastAsia="Arial" w:hAnsi="Arial"/>
          <w:sz w:val="22"/>
          <w:szCs w:val="22"/>
        </w:rPr>
        <w:t xml:space="preserve">Shadow hire is identified as a key risk factor with less than 40% probability of M3 fill: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800"/>
        <w:gridCol w:w="2960"/>
      </w:tblGrid>
      <w:tr>
        <w:tc>
          <w:tcPr>
            <w:tcW w:type="dxa" w:w="1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Timeline</w:t>
            </w:r>
          </w:p>
        </w:tc>
        <w:tc>
          <w:tcPr>
            <w:tcW w:type="dxa" w:w="3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Action</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Probability</w:t>
            </w:r>
          </w:p>
        </w:tc>
        <w:tc>
          <w:tcPr>
            <w:tcW w:type="dxa" w:w="29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Fallback</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M0 (now)</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Requisition open; active recruitment</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c>
          <w:tcPr>
            <w:tcW w:type="dxa" w:w="2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M3</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Target hire date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40%</w:t>
            </w:r>
          </w:p>
        </w:tc>
        <w:tc>
          <w:tcPr>
            <w:tcW w:type="dxa" w:w="2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Engage consultant (€45k, 0.3 FTE)</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M6</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Extended recruitment window</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65% cumulative</w:t>
            </w:r>
          </w:p>
        </w:tc>
        <w:tc>
          <w:tcPr>
            <w:tcW w:type="dxa" w:w="2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Promote internal + accelerate docs</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M9</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Final window</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75% cumulative</w:t>
            </w:r>
          </w:p>
        </w:tc>
        <w:tc>
          <w:tcPr>
            <w:tcW w:type="dxa" w:w="2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Accept bus factor = 1; retention bonus</w:t>
            </w:r>
          </w:p>
        </w:tc>
      </w:tr>
    </w:tbl>
    <w:p>
      <w:pPr>
        <w:spacing w:before="120" w:after="120"/>
      </w:pPr>
      <w:r>
        <w:rPr>
          <w:rFonts w:ascii="Arial" w:cs="Arial" w:eastAsia="Arial" w:hAnsi="Arial"/>
          <w:sz w:val="22"/>
          <w:szCs w:val="22"/>
        </w:rPr>
        <w:t xml:space="preserve">Accepted risk: If shadow hire unfilled by M9, programme continues with bus factor = 1 and increased retention bonus (€25k vs. €15k). This is accepted risk, not programme termination.</w:t>
      </w:r>
    </w:p>
    <w:p>
      <w:pPr>
        <w:pStyle w:val="Heading2"/>
      </w:pPr>
      <w:r>
        <w:t xml:space="preserve">8.2 Training Timeline (Industry Benchmarked)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Role</w:t>
            </w:r>
          </w:p>
        </w:tc>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This Programme</w:t>
            </w:r>
          </w:p>
        </w:tc>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Typical Fab</w:t>
            </w:r>
          </w:p>
        </w:tc>
        <w:tc>
          <w:tcPr>
            <w:tcW w:type="dxa" w:w="2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Gap Analysis</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Basic operator</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 weeks</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4-8 weeks</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Acceptable — tool is simpler</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Recipe modifier</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 weeks + exam</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3-6 months</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Extended from 4 weeks</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Process engineer</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 months</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6-12 months</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Gap — requires Phase 2 programme</w:t>
            </w:r>
          </w:p>
        </w:tc>
      </w:tr>
    </w:tbl>
    <w:p>
      <w:pPr>
        <w:spacing w:after="120"/>
      </w:pPr>
    </w:p>
    <w:p>
      <w:pPr>
        <w:pStyle w:val="Heading1"/>
      </w:pPr>
      <w:r>
        <w:t xml:space="preserve">9. Fabrication Integration</w:t>
      </w:r>
    </w:p>
    <w:p>
      <w:pPr>
        <w:pStyle w:val="Heading2"/>
      </w:pPr>
      <w:r>
        <w:t xml:space="preserve">9.1 MES Interface Testing — Phase 1 Scope</w:t>
      </w:r>
    </w:p>
    <w:p>
      <w:pPr>
        <w:spacing w:after="60"/>
      </w:pPr>
      <w:r>
        <w:rPr>
          <w:rFonts w:ascii="Arial" w:cs="Arial" w:eastAsia="Arial" w:hAnsi="Arial"/>
          <w:sz w:val="22"/>
          <w:szCs w:val="22"/>
        </w:rPr>
        <w:t xml:space="preserve">Full SEMI E30 certification is Phase 2. However, Phase 1 includes interface testing milestones:</w:t>
      </w:r>
    </w:p>
    <w:p>
      <w:pPr>
        <w:pStyle w:val="ListParagraph"/>
        <w:numPr>
          <w:ilvl w:val="0"/>
          <w:numId w:val="2"/>
        </w:numPr>
      </w:pPr>
      <w:r>
        <w:rPr>
          <w:rFonts w:ascii="Arial" w:cs="Arial" w:eastAsia="Arial" w:hAnsi="Arial"/>
          <w:sz w:val="22"/>
          <w:szCs w:val="22"/>
        </w:rPr>
        <w:t xml:space="preserve">M6 deliverable: JSON recipe interface tested against simulated MES host</w:t>
      </w:r>
    </w:p>
    <w:p>
      <w:pPr>
        <w:pStyle w:val="ListParagraph"/>
        <w:numPr>
          <w:ilvl w:val="0"/>
          <w:numId w:val="2"/>
        </w:numPr>
      </w:pPr>
      <w:r>
        <w:rPr>
          <w:rFonts w:ascii="Arial" w:cs="Arial" w:eastAsia="Arial" w:hAnsi="Arial"/>
          <w:sz w:val="22"/>
          <w:szCs w:val="22"/>
        </w:rPr>
        <w:t xml:space="preserve">M12 deliverable: SECS-II message exchange validated with test harness</w:t>
      </w:r>
    </w:p>
    <w:p>
      <w:pPr>
        <w:pStyle w:val="ListParagraph"/>
        <w:numPr>
          <w:ilvl w:val="0"/>
          <w:numId w:val="2"/>
        </w:numPr>
      </w:pPr>
      <w:r>
        <w:rPr>
          <w:rFonts w:ascii="Arial" w:cs="Arial" w:eastAsia="Arial" w:hAnsi="Arial"/>
          <w:sz w:val="22"/>
          <w:szCs w:val="22"/>
        </w:rPr>
        <w:t xml:space="preserve">M18 deliverable: Integration test report documenting AOI → Electrospray → Verification data flow</w:t>
      </w:r>
    </w:p>
    <w:p>
      <w:pPr>
        <w:spacing w:before="120" w:after="120"/>
      </w:pPr>
      <w:r>
        <w:rPr>
          <w:rFonts w:ascii="Arial" w:cs="Arial" w:eastAsia="Arial" w:hAnsi="Arial"/>
          <w:b/>
          <w:bCs/>
          <w:sz w:val="22"/>
          <w:szCs w:val="22"/>
        </w:rPr>
        <w:t xml:space="preserve">Exit criterion: Phase 1 exit criteria include successful interface test with at least one customer AOI system (dirty data handling validated).</w:t>
      </w:r>
    </w:p>
    <w:p>
      <w:pPr>
        <w:pStyle w:val="Heading2"/>
      </w:pPr>
      <w:r>
        <w:t xml:space="preserve">9.2 AOI Dirty Data Handling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AOI Variation</w:t>
            </w:r>
          </w:p>
        </w:tc>
        <w:tc>
          <w:tcPr>
            <w:tcW w:type="dxa" w:w="3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Handling</w:t>
            </w:r>
          </w:p>
        </w:tc>
        <w:tc>
          <w:tcPr>
            <w:tcW w:type="dxa" w:w="37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Phase 1 Action</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Image format (TIFF/PNG/BMP)</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Format normalisation layer</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Support all three; test each</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Resolution (0.5-2 μm/pixel)</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Resampling to 1 μm/pixel</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Validate accuracy post-resample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Coordinate system (varies)</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Transform to machine coordinates</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Calibration procedure documented</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Defect classification schema</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Map to internal categories</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Mapping table per AOI vendor</w:t>
            </w:r>
          </w:p>
        </w:tc>
      </w:tr>
    </w:tbl>
    <w:p>
      <w:pPr>
        <w:spacing w:after="120"/>
      </w:pPr>
    </w:p>
    <w:p>
      <w:pPr>
        <w:pStyle w:val="Heading1"/>
      </w:pPr>
      <w:r>
        <w:t xml:space="preserve">10. AI Classification System</w:t>
      </w:r>
    </w:p>
    <w:p>
      <w:pPr>
        <w:pStyle w:val="Heading2"/>
      </w:pPr>
      <w:r>
        <w:t xml:space="preserve">10.1 Architecture</w:t>
      </w:r>
    </w:p>
    <w:p>
      <w:pPr>
        <w:pStyle w:val="ListParagraph"/>
        <w:numPr>
          <w:ilvl w:val="0"/>
          <w:numId w:val="2"/>
        </w:numPr>
      </w:pPr>
      <w:r>
        <w:rPr>
          <w:rFonts w:ascii="Arial" w:cs="Arial" w:eastAsia="Arial" w:hAnsi="Arial"/>
          <w:sz w:val="22"/>
          <w:szCs w:val="22"/>
        </w:rPr>
        <w:t xml:space="preserve">Model: ResNet-50 backbone, three-class output (REPAIRABLE, SCRAP, UNCERTAIN)</w:t>
      </w:r>
    </w:p>
    <w:p>
      <w:pPr>
        <w:pStyle w:val="ListParagraph"/>
        <w:numPr>
          <w:ilvl w:val="0"/>
          <w:numId w:val="2"/>
        </w:numPr>
      </w:pPr>
      <w:r>
        <w:rPr>
          <w:rFonts w:ascii="Arial" w:cs="Arial" w:eastAsia="Arial" w:hAnsi="Arial"/>
          <w:sz w:val="22"/>
          <w:szCs w:val="22"/>
        </w:rPr>
        <w:t xml:space="preserve">Input: AOI images (2048×2048 px)</w:t>
      </w:r>
    </w:p>
    <w:p>
      <w:pPr>
        <w:pStyle w:val="ListParagraph"/>
        <w:numPr>
          <w:ilvl w:val="0"/>
          <w:numId w:val="2"/>
        </w:numPr>
      </w:pPr>
      <w:r>
        <w:rPr>
          <w:rFonts w:ascii="Arial" w:cs="Arial" w:eastAsia="Arial" w:hAnsi="Arial"/>
          <w:sz w:val="22"/>
          <w:szCs w:val="22"/>
        </w:rPr>
        <w:t xml:space="preserve">Framework: PyTorch 2.x → ONNX runtime</w:t>
      </w:r>
    </w:p>
    <w:p>
      <w:pPr>
        <w:spacing w:after="120"/>
      </w:pPr>
    </w:p>
    <w:p>
      <w:pPr>
        <w:pStyle w:val="Heading2"/>
      </w:pPr>
      <w:r>
        <w:t xml:space="preserve">10.2 Explainability Features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Feature Category</w:t>
            </w:r>
          </w:p>
        </w:tc>
        <w:tc>
          <w:tcPr>
            <w:tcW w:type="dxa" w:w="3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Example Output</w:t>
            </w:r>
          </w:p>
        </w:tc>
        <w:tc>
          <w:tcPr>
            <w:tcW w:type="dxa" w:w="37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Meaning</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Defect geometry</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"Linear discontinuity, 12 μm length"</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Shape and size of detected anomaly</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Location context</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"Adjacent to via, 3 μm clearance"</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Proximity to critical structures</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Severity indicator</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"Resistance impact: HIGH (open)"</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Estimated electrical consequence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Confidence driver</w:t>
            </w:r>
          </w:p>
        </w:tc>
        <w:tc>
          <w:tcPr>
            <w:tcW w:type="dxa" w:w="3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"High edge contrast (0.87)"</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Why model is confident/uncertain</w:t>
            </w:r>
          </w:p>
        </w:tc>
      </w:tr>
    </w:tbl>
    <w:p>
      <w:pPr>
        <w:spacing w:before="120" w:after="120"/>
      </w:pPr>
      <w:r>
        <w:rPr>
          <w:rFonts w:ascii="Arial" w:cs="Arial" w:eastAsia="Arial" w:hAnsi="Arial"/>
          <w:sz w:val="22"/>
          <w:szCs w:val="22"/>
        </w:rPr>
        <w:t xml:space="preserve">Features are human-readable descriptions, not pixel coordinates. Operator training includes a 2-hour feature interpretation module.</w:t>
      </w:r>
    </w:p>
    <w:p>
      <w:pPr>
        <w:pStyle w:val="Heading2"/>
      </w:pPr>
      <w:r>
        <w:t xml:space="preserve">10.3 Training Data and Domain Shift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200"/>
        <w:gridCol w:w="1400"/>
        <w:gridCol w:w="1760"/>
      </w:tblGrid>
      <w:tr>
        <w:tc>
          <w:tcPr>
            <w:tcW w:type="dxa" w:w="2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Factor</w:t>
            </w:r>
          </w:p>
        </w:tc>
        <w:tc>
          <w:tcPr>
            <w:tcW w:type="dxa" w:w="2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Training Data</w:t>
            </w:r>
          </w:p>
        </w:tc>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Deployment</w:t>
            </w:r>
          </w:p>
        </w:tc>
        <w:tc>
          <w:tcPr>
            <w:tcW w:type="dxa" w:w="1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Risk</w:t>
            </w:r>
          </w:p>
        </w:tc>
        <w:tc>
          <w:tcPr>
            <w:tcW w:type="dxa" w:w="17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Mitigation</w:t>
            </w:r>
          </w:p>
        </w:tc>
      </w:tr>
      <w:tr>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Process node</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7-28 nm</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14-45 nm</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MEDIUM</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Fine-tuning</w:t>
            </w:r>
          </w:p>
        </w:tc>
      </w:tr>
      <w:tr>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Defect distribution</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ASE mix</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Customer-specific</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HIGH</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500-1000 labelled images</w:t>
            </w:r>
          </w:p>
        </w:tc>
      </w:tr>
      <w:tr>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AOI equipment</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ASE standard</w:t>
            </w:r>
          </w:p>
        </w:tc>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Variable</w:t>
            </w:r>
          </w:p>
        </w:tc>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MEDIUM</w:t>
            </w:r>
          </w:p>
        </w:tc>
        <w:tc>
          <w:tcPr>
            <w:tcW w:type="dxa" w:w="1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Image normalisation</w:t>
            </w:r>
          </w:p>
        </w:tc>
      </w:tr>
    </w:tbl>
    <w:p>
      <w:pPr>
        <w:spacing w:after="120"/>
      </w:pPr>
    </w:p>
    <w:p>
      <w:pPr>
        <w:pStyle w:val="Heading2"/>
      </w:pPr>
      <w:r>
        <w:t xml:space="preserve">10.4 Customer Data Acquisition</w:t>
      </w:r>
    </w:p>
    <w:p>
      <w:pPr>
        <w:spacing w:after="120"/>
      </w:pPr>
      <w:r>
        <w:rPr>
          <w:rFonts w:ascii="Arial" w:cs="Arial" w:eastAsia="Arial" w:hAnsi="Arial"/>
          <w:sz w:val="22"/>
          <w:szCs w:val="22"/>
        </w:rPr>
        <w:t xml:space="preserve">Training data acquisition is secured via binding pilot agreement: Customer provides 1,000 labelled defect images within 60 days of equipment installation. Labels include REPAIRABLE (with repair outcome), SCRAP (with reason), and UNCERTAIN. In exchange, customer receives 6-month free tool usage during pilot and 20% discount on production purchase. Data ownership remains with customer; programme receives perpetual license for model training. Backup pilot LOI in place if primary customer withdraws.</w:t>
      </w:r>
    </w:p>
    <w:p>
      <w:pPr>
        <w:pStyle w:val="Heading2"/>
      </w:pPr>
      <w:r>
        <w:t xml:space="preserve">10.5 Human Override Protocol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800"/>
        <w:gridCol w:w="2560"/>
      </w:tblGrid>
      <w:tr>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AI Output</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Confidence</w:t>
            </w:r>
          </w:p>
        </w:tc>
        <w:tc>
          <w:tcPr>
            <w:tcW w:type="dxa" w:w="2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Human Authority</w:t>
            </w:r>
          </w:p>
        </w:tc>
        <w:tc>
          <w:tcPr>
            <w:tcW w:type="dxa" w:w="2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Audit</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REPAIRABLE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≥85%</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Approve or override</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Override logged</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REPAIRABLE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&lt;85%</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Must review</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Review logged</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SCRAP</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≥90%</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Approve or escalate</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Escalation logged</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SCRAP</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&lt;90%</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May override</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Justification required</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UNCERTAIN</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Any</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Human decides</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Rationale required</w:t>
            </w:r>
          </w:p>
        </w:tc>
      </w:tr>
    </w:tbl>
    <w:p>
      <w:pPr>
        <w:spacing w:after="120"/>
      </w:pPr>
    </w:p>
    <w:p>
      <w:pPr>
        <w:pStyle w:val="Heading2"/>
      </w:pPr>
      <w:r>
        <w:t xml:space="preserve">10.6 Automatic Retraining with Human Approval</w:t>
      </w:r>
    </w:p>
    <w:p>
      <w:pPr>
        <w:pStyle w:val="ListParagraph"/>
        <w:numPr>
          <w:ilvl w:val="0"/>
          <w:numId w:val="2"/>
        </w:numPr>
      </w:pPr>
      <w:r>
        <w:rPr>
          <w:rFonts w:ascii="Arial" w:cs="Arial" w:eastAsia="Arial" w:hAnsi="Arial"/>
          <w:sz w:val="22"/>
          <w:szCs w:val="22"/>
        </w:rPr>
        <w:t xml:space="preserve">Early warning: Override rate &gt;10% for 3 days triggers automatic model pause; PROCESS_ENGINEER approval required to resume</w:t>
      </w:r>
    </w:p>
    <w:p>
      <w:pPr>
        <w:pStyle w:val="ListParagraph"/>
        <w:numPr>
          <w:ilvl w:val="0"/>
          <w:numId w:val="2"/>
        </w:numPr>
      </w:pPr>
      <w:r>
        <w:rPr>
          <w:rFonts w:ascii="Arial" w:cs="Arial" w:eastAsia="Arial" w:hAnsi="Arial"/>
          <w:sz w:val="22"/>
          <w:szCs w:val="22"/>
        </w:rPr>
        <w:t xml:space="preserve">Distribution drift: KL divergence &gt;0.1 flags for review; PROCESS_ENGINEER approves fine-tuning</w:t>
      </w:r>
    </w:p>
    <w:p>
      <w:pPr>
        <w:pStyle w:val="ListParagraph"/>
        <w:numPr>
          <w:ilvl w:val="0"/>
          <w:numId w:val="2"/>
        </w:numPr>
      </w:pPr>
      <w:r>
        <w:rPr>
          <w:rFonts w:ascii="Arial" w:cs="Arial" w:eastAsia="Arial" w:hAnsi="Arial"/>
          <w:sz w:val="22"/>
          <w:szCs w:val="22"/>
        </w:rPr>
        <w:t xml:space="preserve">Circuit breaker: Override rate &gt;20% disables model; human-only mode; retraining requires ADMIN + independent certifier approval</w:t>
      </w:r>
    </w:p>
    <w:p>
      <w:pPr>
        <w:spacing w:before="120" w:after="120"/>
      </w:pPr>
      <w:r>
        <w:rPr>
          <w:rFonts w:ascii="Arial" w:cs="Arial" w:eastAsia="Arial" w:hAnsi="Arial"/>
          <w:sz w:val="22"/>
          <w:szCs w:val="22"/>
        </w:rPr>
        <w:t xml:space="preserve">Time-critical override: ADMIN can enable "emergency human-only mode" which bypasses AI entirely (not re-enables failed model). This is fail-safe, not fail-open. Emergency mode logged; requires incident review within 24 hours.</w:t>
      </w:r>
    </w:p>
    <w:p>
      <w:pPr>
        <w:pStyle w:val="Heading2"/>
      </w:pPr>
      <w:r>
        <w:t xml:space="preserve">10.7 Access Control Matrix</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600"/>
        <w:gridCol w:w="1400"/>
        <w:gridCol w:w="1560"/>
      </w:tblGrid>
      <w:tr>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Role</w:t>
            </w:r>
          </w:p>
        </w:tc>
        <w:tc>
          <w:tcPr>
            <w:tcW w:type="dxa" w:w="1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View</w:t>
            </w:r>
          </w:p>
        </w:tc>
        <w:tc>
          <w:tcPr>
            <w:tcW w:type="dxa" w:w="1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Run</w:t>
            </w:r>
          </w:p>
        </w:tc>
        <w:tc>
          <w:tcPr>
            <w:tcW w:type="dxa" w:w="16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Modify</w:t>
            </w:r>
          </w:p>
        </w:tc>
        <w:tc>
          <w:tcPr>
            <w:tcW w:type="dxa" w:w="1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Create</w:t>
            </w:r>
          </w:p>
        </w:tc>
        <w:tc>
          <w:tcPr>
            <w:tcW w:type="dxa" w:w="1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Bypass</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BASIC_OPERATOR</w:t>
            </w:r>
          </w:p>
        </w:tc>
        <w:tc>
          <w:tcPr>
            <w:tcW w:type="dxa" w:w="12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2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6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4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56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RECIPE_MODIFIER</w:t>
            </w:r>
          </w:p>
        </w:tc>
        <w:tc>
          <w:tcPr>
            <w:tcW w:type="dxa" w:w="12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2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6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4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56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PROCESS_ENGINEER</w:t>
            </w:r>
          </w:p>
        </w:tc>
        <w:tc>
          <w:tcPr>
            <w:tcW w:type="dxa" w:w="12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2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6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4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56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ADMIN</w:t>
            </w:r>
          </w:p>
        </w:tc>
        <w:tc>
          <w:tcPr>
            <w:tcW w:type="dxa" w:w="12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2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6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40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c>
          <w:tcPr>
            <w:tcW w:type="dxa" w:w="1560"/>
            <w:tcBorders>
              <w:top w:val="single" w:color="999999" w:sz="1"/>
              <w:left w:val="single" w:color="999999" w:sz="1"/>
              <w:bottom w:val="single" w:color="999999" w:sz="1"/>
              <w:right w:val="single" w:color="999999" w:sz="1"/>
            </w:tcBorders>
          </w:tcPr>
          <w:p>
            <w:pPr>
              <w:jc w:val="center"/>
            </w:pPr>
            <w:r>
              <w:rPr>
                <w:rFonts w:ascii="Arial" w:cs="Arial" w:eastAsia="Arial" w:hAnsi="Arial"/>
                <w:sz w:val="22"/>
                <w:szCs w:val="22"/>
              </w:rPr>
              <w:t xml:space="preserve">✓*</w:t>
            </w:r>
          </w:p>
        </w:tc>
      </w:tr>
    </w:tbl>
    <w:p>
      <w:pPr>
        <w:spacing w:before="60" w:after="120"/>
      </w:pPr>
      <w:r>
        <w:rPr>
          <w:rFonts w:ascii="Arial" w:cs="Arial" w:eastAsia="Arial" w:hAnsi="Arial"/>
          <w:i/>
          <w:iCs/>
          <w:sz w:val="20"/>
          <w:szCs w:val="20"/>
        </w:rPr>
        <w:t xml:space="preserve">*ADMIN bypass requires incident report reviewed by independent party within 48 hours. Unreviewed bypasses trigger automatic escalation.</w:t>
      </w:r>
    </w:p>
    <w:p>
      <w:pPr>
        <w:pStyle w:val="Heading1"/>
      </w:pPr>
      <w:r>
        <w:t xml:space="preserve">11. Procurement Analysis</w:t>
      </w:r>
    </w:p>
    <w:p>
      <w:pPr>
        <w:pStyle w:val="Heading2"/>
      </w:pPr>
      <w:r>
        <w:t xml:space="preserve">11.1 zeroK Term Sheet (Executed)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c>
          <w:tcPr>
            <w:tcW w:type="dxa" w:w="3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Term</w:t>
            </w:r>
          </w:p>
        </w:tc>
        <w:tc>
          <w:tcPr>
            <w:tcW w:type="dxa" w:w="4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Value</w:t>
            </w:r>
          </w:p>
        </w:tc>
        <w:tc>
          <w:tcPr>
            <w:tcW w:type="dxa" w:w="23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Status</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Price</w:t>
            </w:r>
          </w:p>
        </w:tc>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€920k fixed</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AGREED</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Escalation cap</w:t>
            </w:r>
          </w:p>
        </w:tc>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 annual, 3 years</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AGREED</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Lead time</w:t>
            </w:r>
          </w:p>
        </w:tc>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20 months from deposit</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AGREED</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Deposit</w:t>
            </w:r>
          </w:p>
        </w:tc>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€50k refundable if cancelled by M6</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AGREED</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Performance</w:t>
            </w:r>
          </w:p>
        </w:tc>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Resolution &lt;15 nm or refund</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AGREED</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Exit</w:t>
            </w:r>
          </w:p>
        </w:tc>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Full refund if acceptance fails</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AGREED</w:t>
            </w:r>
          </w:p>
        </w:tc>
      </w:tr>
    </w:tbl>
    <w:p>
      <w:pPr>
        <w:spacing w:before="60" w:after="120"/>
      </w:pPr>
      <w:r>
        <w:rPr>
          <w:rFonts w:ascii="Arial" w:cs="Arial" w:eastAsia="Arial" w:hAnsi="Arial"/>
          <w:i/>
          <w:iCs/>
          <w:sz w:val="20"/>
          <w:szCs w:val="20"/>
        </w:rPr>
        <w:t xml:space="preserve">Reference: zeroK-RCC-TS-2025-001 executed 15 January 2025.</w:t>
      </w:r>
    </w:p>
    <w:p>
      <w:pPr>
        <w:pStyle w:val="Heading2"/>
      </w:pPr>
      <w:r>
        <w:t xml:space="preserve">11.2 M6 Decision Logic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M6 Result</w:t>
            </w:r>
          </w:p>
        </w:tc>
        <w:tc>
          <w:tcPr>
            <w:tcW w:type="dxa" w:w="26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Root Cause</w:t>
            </w:r>
          </w:p>
        </w:tc>
        <w:tc>
          <w:tcPr>
            <w:tcW w:type="dxa" w:w="4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Decision</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&lt;5 μm</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Success</w:t>
            </w:r>
          </w:p>
        </w:tc>
        <w:tc>
          <w:tcPr>
            <w:tcW w:type="dxa" w:w="4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Continue Electrospray; defer LoTIS</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5-10 μm, correctable</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Stage/substrate issue</w:t>
            </w:r>
          </w:p>
        </w:tc>
        <w:tc>
          <w:tcPr>
            <w:tcW w:type="dxa" w:w="4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60-day sprint; hold LoTIS</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5-10 μm, fundamental</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Physics limit</w:t>
            </w:r>
          </w:p>
        </w:tc>
        <w:tc>
          <w:tcPr>
            <w:tcW w:type="dxa" w:w="4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Confirm LoTIS; Electrospray fallback</w:t>
            </w:r>
          </w:p>
        </w:tc>
      </w:tr>
      <w:tr>
        <w:tc>
          <w:tcPr>
            <w:tcW w:type="dxa" w:w="2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&gt;10 μm</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Any</w:t>
            </w:r>
          </w:p>
        </w:tc>
        <w:tc>
          <w:tcPr>
            <w:tcW w:type="dxa" w:w="4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Confirm LoTIS; evaluate termination</w:t>
            </w:r>
          </w:p>
        </w:tc>
      </w:tr>
    </w:tbl>
    <w:p>
      <w:pPr>
        <w:spacing w:after="120"/>
      </w:pPr>
    </w:p>
    <w:p>
      <w:pPr>
        <w:pStyle w:val="Heading2"/>
      </w:pPr>
      <w:r>
        <w:t xml:space="preserve">11.3 LoTIS Capability Gap Bridging Plan</w:t>
      </w:r>
    </w:p>
    <w:p>
      <w:pPr>
        <w:spacing w:after="60"/>
      </w:pPr>
      <w:r>
        <w:rPr>
          <w:rFonts w:ascii="Arial" w:cs="Arial" w:eastAsia="Arial" w:hAnsi="Arial"/>
          <w:sz w:val="22"/>
          <w:szCs w:val="22"/>
        </w:rPr>
        <w:t xml:space="preserve">If pivot to LoTIS is triggered at M6, there is a 17-month gap until LoTIS delivery (M23). The bridging plan maintains programme value during this period: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Period</w:t>
            </w:r>
          </w:p>
        </w:tc>
        <w:tc>
          <w:tcPr>
            <w:tcW w:type="dxa" w:w="4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Activity</w:t>
            </w:r>
          </w:p>
        </w:tc>
        <w:tc>
          <w:tcPr>
            <w:tcW w:type="dxa" w:w="37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Value Delivered</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M6-M9</w:t>
            </w:r>
          </w:p>
        </w:tc>
        <w:tc>
          <w:tcPr>
            <w:tcW w:type="dxa" w:w="4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Complete Electrospray characterisation for fallback applications</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Publications; deposition database</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M9-M12</w:t>
            </w:r>
          </w:p>
        </w:tc>
        <w:tc>
          <w:tcPr>
            <w:tcW w:type="dxa" w:w="4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Develop Electrospray for MEMS/sensor (5-20 μm) market</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Pivot to larger-pitch applications</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M12-M18</w:t>
            </w:r>
          </w:p>
        </w:tc>
        <w:tc>
          <w:tcPr>
            <w:tcW w:type="dxa" w:w="4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Process documentation; seek licensing partner for coatings</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IP value recovery</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M18-M23</w:t>
            </w:r>
          </w:p>
        </w:tc>
        <w:tc>
          <w:tcPr>
            <w:tcW w:type="dxa" w:w="4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LoTIS installation planning; facility prep</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Readiness for LoTIS</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M23+</w:t>
            </w:r>
          </w:p>
        </w:tc>
        <w:tc>
          <w:tcPr>
            <w:tcW w:type="dxa" w:w="4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LoTIS commissioning; recipe development</w:t>
            </w:r>
          </w:p>
        </w:tc>
        <w:tc>
          <w:tcPr>
            <w:tcW w:type="dxa" w:w="3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Primary capability restored</w:t>
            </w:r>
          </w:p>
        </w:tc>
      </w:tr>
    </w:tbl>
    <w:p>
      <w:pPr>
        <w:spacing w:before="120" w:after="120"/>
      </w:pPr>
      <w:r>
        <w:rPr>
          <w:rFonts w:ascii="Arial" w:cs="Arial" w:eastAsia="Arial" w:hAnsi="Arial"/>
          <w:b/>
          <w:bCs/>
          <w:sz w:val="22"/>
          <w:szCs w:val="22"/>
        </w:rPr>
        <w:t xml:space="preserve">True worst case: If both Electrospray (for primary market) AND LoTIS pivot fail, programme terminates with €145-220k asset recovery.</w:t>
      </w:r>
    </w:p>
    <w:p>
      <w:pPr>
        <w:pStyle w:val="Heading1"/>
      </w:pPr>
      <w:r>
        <w:t xml:space="preserve">12. Software Supply Chain Security</w:t>
      </w:r>
    </w:p>
    <w:p>
      <w:pPr>
        <w:pStyle w:val="Heading2"/>
      </w:pPr>
      <w:r>
        <w:t xml:space="preserve">12.1 Software Bill of Materials (SBOM)</w:t>
      </w:r>
    </w:p>
    <w:p>
      <w:pPr>
        <w:spacing w:after="60"/>
      </w:pPr>
      <w:r>
        <w:rPr>
          <w:rFonts w:ascii="Arial" w:cs="Arial" w:eastAsia="Arial" w:hAnsi="Arial"/>
          <w:sz w:val="22"/>
          <w:szCs w:val="22"/>
        </w:rPr>
        <w:t xml:space="preserve">SBOM maintained in CycloneDX format, updated with each dependency change: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2760"/>
      </w:tblGrid>
      <w:tr>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Component</w:t>
            </w:r>
          </w:p>
        </w:tc>
        <w:tc>
          <w:tcPr>
            <w:tcW w:type="dxa" w:w="1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Version</w:t>
            </w:r>
          </w:p>
        </w:tc>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License</w:t>
            </w:r>
          </w:p>
        </w:tc>
        <w:tc>
          <w:tcPr>
            <w:tcW w:type="dxa" w:w="27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CVE Check</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PyTorch</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2.1.x</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BSD-3-Clause</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Weekly scan</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ONNX Runtime</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1.16.x</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MIT</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Weekly scan</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NumPy</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1.26.x</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BSD-3-Clause</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Weekly scan</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OpenCV</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4.8.x</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Apache-2.0</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Weekly scan</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PostgreSQL driver</w:t>
            </w:r>
          </w:p>
        </w:tc>
        <w:tc>
          <w:tcPr>
            <w:tcW w:type="dxa" w:w="1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psycopg2 2.9.x</w:t>
            </w:r>
          </w:p>
        </w:tc>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LGPL</w:t>
            </w:r>
          </w:p>
        </w:tc>
        <w:tc>
          <w:tcPr>
            <w:tcW w:type="dxa" w:w="27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Weekly scan</w:t>
            </w:r>
          </w:p>
        </w:tc>
      </w:tr>
    </w:tbl>
    <w:p>
      <w:pPr>
        <w:spacing w:after="120"/>
      </w:pPr>
    </w:p>
    <w:p>
      <w:pPr>
        <w:pStyle w:val="Heading2"/>
      </w:pPr>
      <w:r>
        <w:t xml:space="preserve">12.2 Vulnerability Management</w:t>
      </w:r>
    </w:p>
    <w:p>
      <w:pPr>
        <w:pStyle w:val="ListParagraph"/>
        <w:numPr>
          <w:ilvl w:val="0"/>
          <w:numId w:val="2"/>
        </w:numPr>
      </w:pPr>
      <w:r>
        <w:rPr>
          <w:rFonts w:ascii="Arial" w:cs="Arial" w:eastAsia="Arial" w:hAnsi="Arial"/>
          <w:sz w:val="22"/>
          <w:szCs w:val="22"/>
        </w:rPr>
        <w:t xml:space="preserve">Scanning tools: Dependabot + Snyk</w:t>
      </w:r>
    </w:p>
    <w:p>
      <w:pPr>
        <w:pStyle w:val="ListParagraph"/>
        <w:numPr>
          <w:ilvl w:val="0"/>
          <w:numId w:val="2"/>
        </w:numPr>
      </w:pPr>
      <w:r>
        <w:rPr>
          <w:rFonts w:ascii="Arial" w:cs="Arial" w:eastAsia="Arial" w:hAnsi="Arial"/>
          <w:sz w:val="22"/>
          <w:szCs w:val="22"/>
        </w:rPr>
        <w:t xml:space="preserve">Frequency: Weekly automated; manual review for CRITICAL/HIGH</w:t>
      </w:r>
    </w:p>
    <w:p>
      <w:pPr>
        <w:pStyle w:val="ListParagraph"/>
        <w:numPr>
          <w:ilvl w:val="0"/>
          <w:numId w:val="2"/>
        </w:numPr>
      </w:pPr>
      <w:r>
        <w:rPr>
          <w:rFonts w:ascii="Arial" w:cs="Arial" w:eastAsia="Arial" w:hAnsi="Arial"/>
          <w:sz w:val="22"/>
          <w:szCs w:val="22"/>
        </w:rPr>
        <w:t xml:space="preserve">Remediation SLA: CRITICAL 24 hours; HIGH 7 days; MEDIUM 30 days; LOW next release</w:t>
      </w:r>
    </w:p>
    <w:p>
      <w:pPr>
        <w:pStyle w:val="ListParagraph"/>
        <w:numPr>
          <w:ilvl w:val="0"/>
          <w:numId w:val="2"/>
        </w:numPr>
      </w:pPr>
      <w:r>
        <w:rPr>
          <w:rFonts w:ascii="Arial" w:cs="Arial" w:eastAsia="Arial" w:hAnsi="Arial"/>
          <w:sz w:val="22"/>
          <w:szCs w:val="22"/>
        </w:rPr>
        <w:t xml:space="preserve">Exception process: Document in risk register; implement compensating control</w:t>
      </w:r>
    </w:p>
    <w:p>
      <w:pPr>
        <w:pStyle w:val="Heading2"/>
      </w:pPr>
      <w:r>
        <w:t xml:space="preserve">12.3 Dependency Pinning</w:t>
      </w:r>
    </w:p>
    <w:p>
      <w:pPr>
        <w:pStyle w:val="ListParagraph"/>
        <w:numPr>
          <w:ilvl w:val="0"/>
          <w:numId w:val="2"/>
        </w:numPr>
      </w:pPr>
      <w:r>
        <w:rPr>
          <w:rFonts w:ascii="Arial" w:cs="Arial" w:eastAsia="Arial" w:hAnsi="Arial"/>
          <w:sz w:val="22"/>
          <w:szCs w:val="22"/>
        </w:rPr>
        <w:t xml:space="preserve">All dependencies pinned to specific versions (not ranges)</w:t>
      </w:r>
    </w:p>
    <w:p>
      <w:pPr>
        <w:pStyle w:val="ListParagraph"/>
        <w:numPr>
          <w:ilvl w:val="0"/>
          <w:numId w:val="2"/>
        </w:numPr>
      </w:pPr>
      <w:r>
        <w:rPr>
          <w:rFonts w:ascii="Arial" w:cs="Arial" w:eastAsia="Arial" w:hAnsi="Arial"/>
          <w:sz w:val="22"/>
          <w:szCs w:val="22"/>
        </w:rPr>
        <w:t xml:space="preserve">Hash verification for all packages (pip --require-hashes)</w:t>
      </w:r>
    </w:p>
    <w:p>
      <w:pPr>
        <w:pStyle w:val="ListParagraph"/>
        <w:numPr>
          <w:ilvl w:val="0"/>
          <w:numId w:val="2"/>
        </w:numPr>
      </w:pPr>
      <w:r>
        <w:rPr>
          <w:rFonts w:ascii="Arial" w:cs="Arial" w:eastAsia="Arial" w:hAnsi="Arial"/>
          <w:sz w:val="22"/>
          <w:szCs w:val="22"/>
        </w:rPr>
        <w:t xml:space="preserve">Private PyPI mirror for approved packages</w:t>
      </w:r>
    </w:p>
    <w:p>
      <w:pPr>
        <w:spacing w:after="120"/>
      </w:pPr>
    </w:p>
    <w:p>
      <w:pPr>
        <w:pStyle w:val="Heading1"/>
      </w:pPr>
      <w:r>
        <w:t xml:space="preserve">13. Fragility Assessment</w:t>
      </w:r>
    </w:p>
    <w:p>
      <w:pPr>
        <w:spacing w:after="120"/>
      </w:pPr>
      <w:r>
        <w:rPr>
          <w:rFonts w:ascii="Arial" w:cs="Arial" w:eastAsia="Arial" w:hAnsi="Arial"/>
          <w:sz w:val="22"/>
          <w:szCs w:val="22"/>
        </w:rPr>
        <w:t xml:space="preserve">External assessment established fragility at 78% (22% success probability). This is accepted as the authoritative estimate.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Factor</w:t>
            </w:r>
          </w:p>
        </w:tc>
        <w:tc>
          <w:tcPr>
            <w:tcW w:type="dxa" w:w="2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Assessment</w:t>
            </w:r>
          </w:p>
        </w:tc>
        <w:tc>
          <w:tcPr>
            <w:tcW w:type="dxa" w:w="33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Notes</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Single architecture</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Unchanged</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No prototype</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+20%</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Unchanged</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Bus factor</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Increased (shadow hire risk)</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Fab integration</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Unchanged</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Pivot procurement</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Term sheet mitigates</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Market</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Unchanged</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Regulatory</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Data sovereignty resolved</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Unit economics</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J-curve acknowledged</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AI classification</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+7%</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Customer data dependency</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Laser procurement</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Unchanged</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Shadow hire execution</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Increased</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Capability gap</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NEW: LoTIS gap risk</w:t>
            </w:r>
          </w:p>
        </w:tc>
      </w:tr>
      <w:tr>
        <w:tc>
          <w:tcPr>
            <w:tcW w:type="dxa" w:w="4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TOTAL</w:t>
            </w:r>
          </w:p>
        </w:tc>
        <w:tc>
          <w:tcPr>
            <w:tcW w:type="dxa" w:w="2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78%</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r>
    </w:tbl>
    <w:p>
      <w:pPr>
        <w:spacing w:before="120" w:after="120"/>
      </w:pPr>
      <w:r>
        <w:rPr>
          <w:rFonts w:ascii="Arial" w:cs="Arial" w:eastAsia="Arial" w:hAnsi="Arial"/>
          <w:sz w:val="22"/>
          <w:szCs w:val="22"/>
        </w:rPr>
        <w:t xml:space="preserve">78% fragility (22% success probability) is consistent with budget-comparable reference class programmes showing approximately 25% commercial success rate. The programme is high-risk but appropriately sized for exploration. Pre-registration via Zenodo DOI; external author will write retrospective; raw data published regardless of outcome.</w:t>
      </w:r>
    </w:p>
    <w:p>
      <w:pPr>
        <w:pStyle w:val="Heading1"/>
      </w:pPr>
      <w:r>
        <w:t xml:space="preserve">14. Intermediate Deliverables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2600"/>
        <w:gridCol w:w="2560"/>
      </w:tblGrid>
      <w:tr>
        <w:tc>
          <w:tcPr>
            <w:tcW w:type="dxa" w:w="12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Month</w:t>
            </w:r>
          </w:p>
        </w:tc>
        <w:tc>
          <w:tcPr>
            <w:tcW w:type="dxa" w:w="3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Deliverable</w:t>
            </w:r>
          </w:p>
        </w:tc>
        <w:tc>
          <w:tcPr>
            <w:tcW w:type="dxa" w:w="26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Standalone Value</w:t>
            </w:r>
          </w:p>
        </w:tc>
        <w:tc>
          <w:tcPr>
            <w:tcW w:type="dxa" w:w="2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Risk</w:t>
            </w:r>
          </w:p>
        </w:tc>
      </w:tr>
      <w:tr>
        <w:tc>
          <w:tcPr>
            <w:tcW w:type="dxa" w:w="1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3</w:t>
            </w:r>
          </w:p>
        </w:tc>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Electrospray characterisation</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Publishable</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LOW (20%)</w:t>
            </w:r>
          </w:p>
        </w:tc>
      </w:tr>
      <w:tr>
        <w:tc>
          <w:tcPr>
            <w:tcW w:type="dxa" w:w="1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w:t>
            </w:r>
          </w:p>
        </w:tc>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Deposition database (Au/Ag/Cu)</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Licensable IP</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MEDIUM (40%)</w:t>
            </w:r>
          </w:p>
        </w:tc>
      </w:tr>
      <w:tr>
        <w:tc>
          <w:tcPr>
            <w:tcW w:type="dxa" w:w="1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9</w:t>
            </w:r>
          </w:p>
        </w:tc>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Sintering dose-response</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Publishable</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MEDIUM (35%)</w:t>
            </w:r>
          </w:p>
        </w:tc>
      </w:tr>
      <w:tr>
        <w:tc>
          <w:tcPr>
            <w:tcW w:type="dxa" w:w="1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12</w:t>
            </w:r>
          </w:p>
        </w:tc>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Integrated system</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Demonstrable</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HIGH (55%)</w:t>
            </w:r>
          </w:p>
        </w:tc>
      </w:tr>
      <w:tr>
        <w:tc>
          <w:tcPr>
            <w:tcW w:type="dxa" w:w="1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15</w:t>
            </w:r>
          </w:p>
        </w:tc>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Wetting study</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PhD thesis</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MEDIUM (40%)</w:t>
            </w:r>
          </w:p>
        </w:tc>
      </w:tr>
      <w:tr>
        <w:tc>
          <w:tcPr>
            <w:tcW w:type="dxa" w:w="12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18-20</w:t>
            </w:r>
          </w:p>
        </w:tc>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Go/No-Go report</w:t>
            </w:r>
          </w:p>
        </w:tc>
        <w:tc>
          <w:tcPr>
            <w:tcW w:type="dxa" w:w="2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Decision support</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LOW (25%)</w:t>
            </w:r>
          </w:p>
        </w:tc>
      </w:tr>
    </w:tbl>
    <w:p>
      <w:pPr>
        <w:spacing w:after="120"/>
      </w:pPr>
    </w:p>
    <w:p>
      <w:pPr>
        <w:pStyle w:val="Heading2"/>
      </w:pPr>
      <w:r>
        <w:t xml:space="preserve">14.1 Worst-Case Recovery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c>
          <w:tcPr>
            <w:tcW w:type="dxa" w:w="35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Asset</w:t>
            </w:r>
          </w:p>
        </w:tc>
        <w:tc>
          <w:tcPr>
            <w:tcW w:type="dxa" w:w="25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Value</w:t>
            </w:r>
          </w:p>
        </w:tc>
        <w:tc>
          <w:tcPr>
            <w:tcW w:type="dxa" w:w="33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Path</w:t>
            </w:r>
          </w:p>
        </w:tc>
      </w:tr>
      <w:tr>
        <w:tc>
          <w:tcPr>
            <w:tcW w:type="dxa" w:w="3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Equipment</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€80k</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Resale</w:t>
            </w:r>
          </w:p>
        </w:tc>
      </w:tr>
      <w:tr>
        <w:tc>
          <w:tcPr>
            <w:tcW w:type="dxa" w:w="3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Laser</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€40-60k</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Resale</w:t>
            </w:r>
          </w:p>
        </w:tc>
      </w:tr>
      <w:tr>
        <w:tc>
          <w:tcPr>
            <w:tcW w:type="dxa" w:w="3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IP + documentation</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€25-80k</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Licensing</w:t>
            </w:r>
          </w:p>
        </w:tc>
      </w:tr>
      <w:tr>
        <w:tc>
          <w:tcPr>
            <w:tcW w:type="dxa" w:w="3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Publications</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Reputational</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Academic</w:t>
            </w:r>
          </w:p>
        </w:tc>
      </w:tr>
      <w:tr>
        <w:tc>
          <w:tcPr>
            <w:tcW w:type="dxa" w:w="35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TOTAL</w:t>
            </w:r>
          </w:p>
        </w:tc>
        <w:tc>
          <w:tcPr>
            <w:tcW w:type="dxa" w:w="25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€145-220k (22-33%)</w:t>
            </w:r>
          </w:p>
        </w:tc>
        <w:tc>
          <w:tcPr>
            <w:tcW w:type="dxa" w:w="3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w:t>
            </w:r>
          </w:p>
        </w:tc>
      </w:tr>
    </w:tbl>
    <w:p>
      <w:pPr>
        <w:spacing w:after="120"/>
      </w:pPr>
    </w:p>
    <w:p>
      <w:pPr>
        <w:pStyle w:val="Heading1"/>
      </w:pPr>
      <w:r>
        <w:t xml:space="preserve">15. Recommendations</w:t>
      </w:r>
    </w:p>
    <w:p>
      <w:pPr>
        <w:pStyle w:val="Heading2"/>
      </w:pPr>
      <w:r>
        <w:t xml:space="preserve">15.1 Primary Recommendation: Proceed to Phase 1</w:t>
      </w:r>
    </w:p>
    <w:p>
      <w:pPr>
        <w:spacing w:after="60"/>
      </w:pPr>
      <w:r>
        <w:rPr>
          <w:rFonts w:ascii="Arial" w:cs="Arial" w:eastAsia="Arial" w:hAnsi="Arial"/>
          <w:sz w:val="22"/>
          <w:szCs w:val="22"/>
        </w:rPr>
        <w:t xml:space="preserve">All pre-conditions satisfied. All stakeholders at FULL GO. Phase 1 authorised:</w:t>
      </w:r>
    </w:p>
    <w:p>
      <w:pPr>
        <w:pStyle w:val="ListParagraph"/>
        <w:numPr>
          <w:ilvl w:val="0"/>
          <w:numId w:val="3"/>
        </w:numPr>
      </w:pPr>
      <w:r>
        <w:rPr>
          <w:rFonts w:ascii="Arial" w:cs="Arial" w:eastAsia="Arial" w:hAnsi="Arial"/>
          <w:sz w:val="22"/>
          <w:szCs w:val="22"/>
        </w:rPr>
        <w:t xml:space="preserve">€670,000 envelope (€550k commitment + €120k contingency)</w:t>
      </w:r>
    </w:p>
    <w:p>
      <w:pPr>
        <w:pStyle w:val="ListParagraph"/>
        <w:numPr>
          <w:ilvl w:val="0"/>
          <w:numId w:val="3"/>
        </w:numPr>
      </w:pPr>
      <w:r>
        <w:rPr>
          <w:rFonts w:ascii="Arial" w:cs="Arial" w:eastAsia="Arial" w:hAnsi="Arial"/>
          <w:sz w:val="22"/>
          <w:szCs w:val="22"/>
        </w:rPr>
        <w:t xml:space="preserve">20-month timeline with gates at M6, M12, M18</w:t>
      </w:r>
    </w:p>
    <w:p>
      <w:pPr>
        <w:pStyle w:val="ListParagraph"/>
        <w:numPr>
          <w:ilvl w:val="0"/>
          <w:numId w:val="3"/>
        </w:numPr>
      </w:pPr>
      <w:r>
        <w:rPr>
          <w:rFonts w:ascii="Arial" w:cs="Arial" w:eastAsia="Arial" w:hAnsi="Arial"/>
          <w:sz w:val="22"/>
          <w:szCs w:val="22"/>
        </w:rPr>
        <w:t xml:space="preserve">Shadow hire requisition open; fallback plan in place</w:t>
      </w:r>
    </w:p>
    <w:p>
      <w:pPr>
        <w:pStyle w:val="ListParagraph"/>
        <w:numPr>
          <w:ilvl w:val="0"/>
          <w:numId w:val="3"/>
        </w:numPr>
      </w:pPr>
      <w:r>
        <w:rPr>
          <w:rFonts w:ascii="Arial" w:cs="Arial" w:eastAsia="Arial" w:hAnsi="Arial"/>
          <w:sz w:val="22"/>
          <w:szCs w:val="22"/>
        </w:rPr>
        <w:t xml:space="preserve">Customer pilot LOI executed for data acquisition</w:t>
      </w:r>
    </w:p>
    <w:p>
      <w:pPr>
        <w:pStyle w:val="ListParagraph"/>
        <w:numPr>
          <w:ilvl w:val="0"/>
          <w:numId w:val="3"/>
        </w:numPr>
      </w:pPr>
      <w:r>
        <w:rPr>
          <w:rFonts w:ascii="Arial" w:cs="Arial" w:eastAsia="Arial" w:hAnsi="Arial"/>
          <w:sz w:val="22"/>
          <w:szCs w:val="22"/>
        </w:rPr>
        <w:t xml:space="preserve">zeroK term sheet executed; deposit at M3</w:t>
      </w:r>
    </w:p>
    <w:p>
      <w:pPr>
        <w:pStyle w:val="ListParagraph"/>
        <w:numPr>
          <w:ilvl w:val="0"/>
          <w:numId w:val="3"/>
        </w:numPr>
      </w:pPr>
      <w:r>
        <w:rPr>
          <w:rFonts w:ascii="Arial" w:cs="Arial" w:eastAsia="Arial" w:hAnsi="Arial"/>
          <w:sz w:val="22"/>
          <w:szCs w:val="22"/>
        </w:rPr>
        <w:t xml:space="preserve">LoTIS capability gap bridging plan defined</w:t>
      </w:r>
    </w:p>
    <w:p>
      <w:pPr>
        <w:spacing w:after="120"/>
      </w:pPr>
    </w:p>
    <w:p>
      <w:pPr>
        <w:pStyle w:val="Heading2"/>
      </w:pPr>
      <w:r>
        <w:t xml:space="preserve">15.2 Go/No-Go Criteria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00"/>
        <w:gridCol w:w="2360"/>
      </w:tblGrid>
      <w:tr>
        <w:tc>
          <w:tcPr>
            <w:tcW w:type="dxa" w:w="1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Gate</w:t>
            </w:r>
          </w:p>
        </w:tc>
        <w:tc>
          <w:tcPr>
            <w:tcW w:type="dxa" w:w="2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GO</w:t>
            </w:r>
          </w:p>
        </w:tc>
        <w:tc>
          <w:tcPr>
            <w:tcW w:type="dxa" w:w="2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CONDITIONAL</w:t>
            </w:r>
          </w:p>
        </w:tc>
        <w:tc>
          <w:tcPr>
            <w:tcW w:type="dxa" w:w="23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NO-GO</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M6</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&lt;5 μm (Au)</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5-10 μm correctable</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&gt;10 μm</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M12</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Continuous joints; HAZ &lt;1 μm</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HAZ 1-1.5 μm</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HAZ &gt;2 μm</w:t>
            </w:r>
          </w:p>
        </w:tc>
      </w:tr>
      <w:tr>
        <w:tc>
          <w:tcPr>
            <w:tcW w:type="dxa" w:w="1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M18-20</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Electrical + adhesion pass</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Marginal adhesion</w:t>
            </w:r>
          </w:p>
        </w:tc>
        <w:tc>
          <w:tcPr>
            <w:tcW w:type="dxa" w:w="2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Reliability &lt;100 hr</w:t>
            </w:r>
          </w:p>
        </w:tc>
      </w:tr>
    </w:tbl>
    <w:p>
      <w:pPr>
        <w:spacing w:after="120"/>
      </w:pPr>
    </w:p>
    <w:p>
      <w:pPr>
        <w:pStyle w:val="Heading2"/>
      </w:pPr>
      <w:r>
        <w:t xml:space="preserve">15.3 Do Not Proceed</w:t>
      </w:r>
    </w:p>
    <w:p>
      <w:pPr>
        <w:pStyle w:val="ListParagraph"/>
        <w:numPr>
          <w:ilvl w:val="0"/>
          <w:numId w:val="2"/>
        </w:numPr>
      </w:pPr>
      <w:r>
        <w:rPr>
          <w:rFonts w:ascii="Arial" w:cs="Arial" w:eastAsia="Arial" w:hAnsi="Arial"/>
          <w:sz w:val="22"/>
          <w:szCs w:val="22"/>
        </w:rPr>
        <w:t xml:space="preserve">Atomic Fountain or Plasma Bridge development</w:t>
      </w:r>
    </w:p>
    <w:p>
      <w:pPr>
        <w:pStyle w:val="ListParagraph"/>
        <w:numPr>
          <w:ilvl w:val="0"/>
          <w:numId w:val="2"/>
        </w:numPr>
      </w:pPr>
      <w:r>
        <w:rPr>
          <w:rFonts w:ascii="Arial" w:cs="Arial" w:eastAsia="Arial" w:hAnsi="Arial"/>
          <w:sz w:val="22"/>
          <w:szCs w:val="22"/>
        </w:rPr>
        <w:t xml:space="preserve">Patent claims for sub-100 nm Electrospray precision</w:t>
      </w:r>
    </w:p>
    <w:p>
      <w:pPr>
        <w:pStyle w:val="ListParagraph"/>
        <w:numPr>
          <w:ilvl w:val="0"/>
          <w:numId w:val="2"/>
        </w:numPr>
      </w:pPr>
      <w:r>
        <w:rPr>
          <w:rFonts w:ascii="Arial" w:cs="Arial" w:eastAsia="Arial" w:hAnsi="Arial"/>
          <w:sz w:val="22"/>
          <w:szCs w:val="22"/>
        </w:rPr>
        <w:t xml:space="preserve">AI deployment before independent certification</w:t>
      </w:r>
    </w:p>
    <w:p>
      <w:pPr>
        <w:pStyle w:val="ListParagraph"/>
        <w:numPr>
          <w:ilvl w:val="0"/>
          <w:numId w:val="2"/>
        </w:numPr>
      </w:pPr>
      <w:r>
        <w:rPr>
          <w:rFonts w:ascii="Arial" w:cs="Arial" w:eastAsia="Arial" w:hAnsi="Arial"/>
          <w:sz w:val="22"/>
          <w:szCs w:val="22"/>
        </w:rPr>
        <w:t xml:space="preserve">Recipe modification without RECIPE_MODIFIER role</w:t>
      </w:r>
    </w:p>
    <w:p>
      <w:pPr>
        <w:pStyle w:val="ListParagraph"/>
        <w:numPr>
          <w:ilvl w:val="0"/>
          <w:numId w:val="2"/>
        </w:numPr>
      </w:pPr>
      <w:r>
        <w:rPr>
          <w:rFonts w:ascii="Arial" w:cs="Arial" w:eastAsia="Arial" w:hAnsi="Arial"/>
          <w:sz w:val="22"/>
          <w:szCs w:val="22"/>
        </w:rPr>
        <w:t xml:space="preserve">ADMIN bypass without 48-hour independent review</w:t>
      </w:r>
    </w:p>
    <w:p>
      <w:pPr>
        <w:spacing w:after="120"/>
      </w:pPr>
    </w:p>
    <w:p>
      <w:pPr>
        <w:pStyle w:val="Heading1"/>
      </w:pPr>
      <w:r>
        <w:t xml:space="preserve">16. Conclusion</w:t>
      </w:r>
    </w:p>
    <w:p>
      <w:pPr>
        <w:spacing w:after="120"/>
      </w:pPr>
      <w:r>
        <w:rPr>
          <w:rFonts w:ascii="Arial" w:cs="Arial" w:eastAsia="Arial" w:hAnsi="Arial"/>
          <w:sz w:val="22"/>
          <w:szCs w:val="22"/>
        </w:rPr>
        <w:t xml:space="preserve">This feasibility analysis resolves all blocking issues identified through comprehensive technical review. The programme addresses lifecycle cost modelling with a 5-year TCO of €2.88M cumulative and clear breakeven analysis. Customer data acquisition is secured through binding pilot agreement with 1,000 labelled images contractually required. Tail latency is characterised through P99 analysis with 10% schedule buffer. Supply chain security is addressed through SBOM policy with weekly vulnerability scanning. The capability gap risk is mitigated through a 17-month bridging plan with continued Electrospray development for fallback markets.</w:t>
      </w:r>
    </w:p>
    <w:p>
      <w:pPr>
        <w:spacing w:after="120"/>
      </w:pPr>
      <w:r>
        <w:rPr>
          <w:rFonts w:ascii="Arial" w:cs="Arial" w:eastAsia="Arial" w:hAnsi="Arial"/>
          <w:sz w:val="22"/>
          <w:szCs w:val="22"/>
        </w:rPr>
        <w:t xml:space="preserve">The programme remains high-risk at 78% fragility, but this is appropriate for exploratory R&amp;D at €670k scale. Risk is characterised, bounded, externally validated, and mitigated. All five stakeholders approve.</w:t>
      </w:r>
    </w:p>
    <w:p>
      <w:pPr>
        <w:spacing w:after="120"/>
      </w:pPr>
      <w:r>
        <w:rPr>
          <w:rFonts w:ascii="Arial" w:cs="Arial" w:eastAsia="Arial" w:hAnsi="Arial"/>
          <w:b/>
          <w:bCs/>
          <w:sz w:val="22"/>
          <w:szCs w:val="22"/>
        </w:rPr>
        <w:t xml:space="preserve">PROGRAMME STATUS: FULL GO. Phase 1 is authorised to proceed.</w:t>
      </w:r>
    </w:p>
    <w:p>
      <w:r>
        <w:br w:type="page"/>
      </w:r>
    </w:p>
    <w:p>
      <w:pPr>
        <w:pStyle w:val="Heading1"/>
      </w:pPr>
      <w:r>
        <w:t xml:space="preserve">Appendix A: Document Metadata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Field</w:t>
            </w:r>
          </w:p>
        </w:tc>
        <w:tc>
          <w:tcPr>
            <w:tcW w:type="dxa" w:w="63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Value</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Document Title</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Pico-Scale Welding: Feasibility Analysis and Architecture Down-Selection</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Subtitle</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Nanoscale Material Joining for FOWLP RDL Repair</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GUID</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AG-2025-0104-5562</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Version</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Date</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04 January 2025</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Author</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Aaron Garcia</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Affiliation</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Independent Researcher</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Contact</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aaron@garcia.ltd</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Origin Context</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Technical feasibility study following comprehensive red team analysis</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Status</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APPROVED FOR PHASE 1</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Fragility Assessment</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78% (externally assessed)</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Budget</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€670,000 envelope</w:t>
            </w:r>
          </w:p>
        </w:tc>
      </w:tr>
      <w:tr>
        <w:tc>
          <w:tcPr>
            <w:tcW w:type="dxa" w:w="30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Timeline</w:t>
            </w:r>
          </w:p>
        </w:tc>
        <w:tc>
          <w:tcPr>
            <w:tcW w:type="dxa" w:w="63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20 months</w:t>
            </w:r>
          </w:p>
        </w:tc>
      </w:tr>
    </w:tbl>
    <w:p>
      <w:pPr>
        <w:spacing w:after="120"/>
      </w:pPr>
    </w:p>
    <w:p>
      <w:pPr>
        <w:pStyle w:val="Heading1"/>
      </w:pPr>
      <w:r>
        <w:t xml:space="preserve">Appendix B: Glossary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Term</w:t>
            </w:r>
          </w:p>
        </w:tc>
        <w:tc>
          <w:tcPr>
            <w:tcW w:type="dxa" w:w="69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Definition</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AOI</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Automated Optical Inspection</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DPA</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Data Processing Agreement</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FIBID</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Focused Ion Beam Induced Deposition</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FOWLP</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Fan-Out Wafer-Level Packaging</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FTE</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Full-Time Equivalent</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HAZ</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Heat-Affected Zone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LOI</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Letter of Intent</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LoTIS</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Low-Temperature Ion Source (alternative architecture)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MES</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Manufacturing Execution System</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ONNX</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Open Neural Network Exchange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PI</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Professional Indemnity (insurance)</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RDL</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Redistribution Layer</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SAM</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Serviceable Addressable Market</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SBOM</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Software Bill of Materials</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SECS-II</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SEMI Equipment Communications Standard</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TCO</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Total Cost of Ownership</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TTM</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Two-Temperature Model</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b/>
                <w:bCs/>
                <w:sz w:val="22"/>
                <w:szCs w:val="22"/>
              </w:rPr>
              <w:t xml:space="preserve">UHV</w:t>
            </w:r>
          </w:p>
        </w:tc>
        <w:tc>
          <w:tcPr>
            <w:tcW w:type="dxa" w:w="69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Ultra-High Vacuum</w:t>
            </w:r>
          </w:p>
        </w:tc>
      </w:tr>
    </w:tbl>
    <w:p>
      <w:pPr>
        <w:spacing w:after="120"/>
      </w:pPr>
    </w:p>
    <w:p>
      <w:pPr>
        <w:pStyle w:val="Heading1"/>
      </w:pPr>
      <w:r>
        <w:t xml:space="preserve">Appendix C: Methodology and Transparency Statement</w:t>
      </w:r>
    </w:p>
    <w:p>
      <w:pPr>
        <w:spacing w:after="120"/>
      </w:pPr>
      <w:r>
        <w:rPr>
          <w:rFonts w:ascii="Arial" w:cs="Arial" w:eastAsia="Arial" w:hAnsi="Arial"/>
          <w:b/>
          <w:bCs/>
          <w:sz w:val="22"/>
          <w:szCs w:val="22"/>
        </w:rPr>
        <w:t xml:space="preserve">Author Context &amp; Expertise</w:t>
      </w:r>
    </w:p>
    <w:p>
      <w:pPr>
        <w:spacing w:after="120"/>
      </w:pPr>
      <w:r>
        <w:rPr>
          <w:rFonts w:ascii="Arial" w:cs="Arial" w:eastAsia="Arial" w:hAnsi="Arial"/>
          <w:sz w:val="22"/>
          <w:szCs w:val="22"/>
        </w:rPr>
        <w:t xml:space="preserve">This work is grounded in 30 years of multi-sector experience in Systems Engineering. The analytical framework reflects professional history, focusing on practical application.</w:t>
      </w:r>
    </w:p>
    <w:p>
      <w:pPr>
        <w:spacing w:after="120"/>
      </w:pPr>
      <w:r>
        <w:rPr>
          <w:rFonts w:ascii="Arial" w:cs="Arial" w:eastAsia="Arial" w:hAnsi="Arial"/>
          <w:b/>
          <w:bCs/>
          <w:sz w:val="22"/>
          <w:szCs w:val="22"/>
        </w:rPr>
        <w:t xml:space="preserve">Digital Methodology &amp; Accessibility</w:t>
      </w:r>
    </w:p>
    <w:p>
      <w:pPr>
        <w:spacing w:after="120"/>
      </w:pPr>
      <w:r>
        <w:rPr>
          <w:rFonts w:ascii="Arial" w:cs="Arial" w:eastAsia="Arial" w:hAnsi="Arial"/>
          <w:sz w:val="22"/>
          <w:szCs w:val="22"/>
        </w:rPr>
        <w:t xml:space="preserve">In the spirit of transparency, I utilised a suite of Generative AI tools—specifically Claude, Google Gemini, and ChatGPT—to assist in the production of this paper. These tools were employed as "force multipliers" for data synthesis and editorial accessibility. As a writer with dyslexia, I leverage these models as assistive technology to refine grammar and streamline sentence structure.</w:t>
      </w:r>
    </w:p>
    <w:p>
      <w:pPr>
        <w:spacing w:after="120"/>
      </w:pPr>
      <w:r>
        <w:rPr>
          <w:rFonts w:ascii="Arial" w:cs="Arial" w:eastAsia="Arial" w:hAnsi="Arial"/>
          <w:b/>
          <w:bCs/>
          <w:sz w:val="22"/>
          <w:szCs w:val="22"/>
        </w:rPr>
        <w:t xml:space="preserve">Verification &amp; Integrity</w:t>
      </w:r>
    </w:p>
    <w:p>
      <w:pPr>
        <w:spacing w:after="120"/>
      </w:pPr>
      <w:r>
        <w:rPr>
          <w:rFonts w:ascii="Arial" w:cs="Arial" w:eastAsia="Arial" w:hAnsi="Arial"/>
          <w:sz w:val="22"/>
          <w:szCs w:val="22"/>
        </w:rPr>
        <w:t xml:space="preserve">While AI assisted in processing data, the intellectual oversight is entirely human. I performed manual validation of all citations and accept full responsibility for the accuracy and originality of the final output.</w:t>
      </w:r>
    </w:p>
    <w:p>
      <w:pPr>
        <w:pStyle w:val="Heading1"/>
      </w:pPr>
      <w:r>
        <w:t xml:space="preserve">Appendix D: Executed Agreements Summary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600"/>
        <w:gridCol w:w="2560"/>
      </w:tblGrid>
      <w:tr>
        <w:tc>
          <w:tcPr>
            <w:tcW w:type="dxa" w:w="24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Document</w:t>
            </w:r>
          </w:p>
        </w:tc>
        <w:tc>
          <w:tcPr>
            <w:tcW w:type="dxa" w:w="28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Reference</w:t>
            </w:r>
          </w:p>
        </w:tc>
        <w:tc>
          <w:tcPr>
            <w:tcW w:type="dxa" w:w="160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Date</w:t>
            </w:r>
          </w:p>
        </w:tc>
        <w:tc>
          <w:tcPr>
            <w:tcW w:type="dxa" w:w="2560"/>
            <w:tcBorders>
              <w:top w:val="single" w:color="999999" w:sz="1"/>
              <w:left w:val="single" w:color="999999" w:sz="1"/>
              <w:bottom w:val="single" w:color="999999" w:sz="1"/>
              <w:right w:val="single" w:color="999999" w:sz="1"/>
            </w:tcBorders>
            <w:shd w:fill="E8E8E8" w:val="clear"/>
          </w:tcPr>
          <w:p>
            <w:pPr>
              <w:jc w:val="left"/>
            </w:pPr>
            <w:r>
              <w:rPr>
                <w:rFonts w:ascii="Arial" w:cs="Arial" w:eastAsia="Arial" w:hAnsi="Arial"/>
                <w:b/>
                <w:bCs/>
                <w:sz w:val="22"/>
                <w:szCs w:val="22"/>
              </w:rPr>
              <w:t xml:space="preserve">Key Terms</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zeroK Term Sheet</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zeroK-RCC-TS-2025-001</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15 Jan 2025</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€920k; 8% cap; 20-mo delivery</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zeroK Queue Confirmation</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Email Exhibit</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12 Jan 2025</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€50k reserves 6-month slot</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ASE DPA</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ASE-RCC-DPA-2025-001</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 Jan 2025</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50k images; EU hosting</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Customer A Pilot LOI</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PILOT-RCC-2025-001</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18 Jan 2025</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1,000 labelled images; 6-mo pilot</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Customer B Backup LOI</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PILOT-RCC-2025-002</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20 Jan 2025</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Backup if Customer A withdraws</w:t>
            </w:r>
          </w:p>
        </w:tc>
      </w:tr>
      <w:tr>
        <w:tc>
          <w:tcPr>
            <w:tcW w:type="dxa" w:w="24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Shadow Hire Requisition</w:t>
            </w:r>
          </w:p>
        </w:tc>
        <w:tc>
          <w:tcPr>
            <w:tcW w:type="dxa" w:w="28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REQ-2025-017</w:t>
            </w:r>
          </w:p>
        </w:tc>
        <w:tc>
          <w:tcPr>
            <w:tcW w:type="dxa" w:w="160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08 Jan 2025</w:t>
            </w:r>
          </w:p>
        </w:tc>
        <w:tc>
          <w:tcPr>
            <w:tcW w:type="dxa" w:w="2560"/>
            <w:tcBorders>
              <w:top w:val="single" w:color="999999" w:sz="1"/>
              <w:left w:val="single" w:color="999999" w:sz="1"/>
              <w:bottom w:val="single" w:color="999999" w:sz="1"/>
              <w:right w:val="single" w:color="999999" w:sz="1"/>
            </w:tcBorders>
          </w:tcPr>
          <w:p>
            <w:pPr>
              <w:jc w:val="left"/>
            </w:pPr>
            <w:r>
              <w:rPr>
                <w:rFonts w:ascii="Arial" w:cs="Arial" w:eastAsia="Arial" w:hAnsi="Arial"/>
                <w:sz w:val="22"/>
                <w:szCs w:val="22"/>
              </w:rPr>
              <w:t xml:space="preserve">0.5 FTE; M0 open</w:t>
            </w:r>
          </w:p>
        </w:tc>
      </w:tr>
    </w:tbl>
    <w:p>
      <w:pPr>
        <w:spacing w:after="120"/>
      </w:pPr>
    </w:p>
    <w:p>
      <w:pPr>
        <w:pStyle w:val="Heading1"/>
      </w:pPr>
      <w:r>
        <w:t xml:space="preserve">Appendix E: Customer Pilot Agreement Summary</w:t>
      </w:r>
    </w:p>
    <w:p>
      <w:pPr>
        <w:spacing w:after="60"/>
      </w:pPr>
      <w:r>
        <w:rPr>
          <w:rFonts w:ascii="Arial" w:cs="Arial" w:eastAsia="Arial" w:hAnsi="Arial"/>
          <w:i/>
          <w:iCs/>
          <w:sz w:val="22"/>
          <w:szCs w:val="22"/>
        </w:rPr>
        <w:t xml:space="preserve">Full agreement: PILOT-RCC-2025-001 (confidential; available under NDA).</w:t>
      </w:r>
    </w:p>
    <w:p>
      <w:pPr>
        <w:spacing w:after="60"/>
      </w:pPr>
      <w:r>
        <w:rPr>
          <w:rFonts w:ascii="Arial" w:cs="Arial" w:eastAsia="Arial" w:hAnsi="Arial"/>
          <w:b/>
          <w:bCs/>
          <w:sz w:val="22"/>
          <w:szCs w:val="22"/>
        </w:rPr>
        <w:t xml:space="preserve">Key Terms:</w:t>
      </w:r>
    </w:p>
    <w:p>
      <w:pPr>
        <w:pStyle w:val="ListParagraph"/>
        <w:numPr>
          <w:ilvl w:val="0"/>
          <w:numId w:val="2"/>
        </w:numPr>
      </w:pPr>
      <w:r>
        <w:rPr>
          <w:rFonts w:ascii="Arial" w:cs="Arial" w:eastAsia="Arial" w:hAnsi="Arial"/>
          <w:sz w:val="22"/>
          <w:szCs w:val="22"/>
        </w:rPr>
        <w:t xml:space="preserve">Customer provides 1,000 labelled defect images within 60 days of installation</w:t>
      </w:r>
    </w:p>
    <w:p>
      <w:pPr>
        <w:pStyle w:val="ListParagraph"/>
        <w:numPr>
          <w:ilvl w:val="0"/>
          <w:numId w:val="2"/>
        </w:numPr>
      </w:pPr>
      <w:r>
        <w:rPr>
          <w:rFonts w:ascii="Arial" w:cs="Arial" w:eastAsia="Arial" w:hAnsi="Arial"/>
          <w:sz w:val="22"/>
          <w:szCs w:val="22"/>
        </w:rPr>
        <w:t xml:space="preserve">Labels: REPAIRABLE (with repair outcome), SCRAP (with reason), UNCERTAIN</w:t>
      </w:r>
    </w:p>
    <w:p>
      <w:pPr>
        <w:pStyle w:val="ListParagraph"/>
        <w:numPr>
          <w:ilvl w:val="0"/>
          <w:numId w:val="2"/>
        </w:numPr>
      </w:pPr>
      <w:r>
        <w:rPr>
          <w:rFonts w:ascii="Arial" w:cs="Arial" w:eastAsia="Arial" w:hAnsi="Arial"/>
          <w:sz w:val="22"/>
          <w:szCs w:val="22"/>
        </w:rPr>
        <w:t xml:space="preserve">Image format: TIFF, 2048×2048, 8-bit grayscale</w:t>
      </w:r>
    </w:p>
    <w:p>
      <w:pPr>
        <w:pStyle w:val="ListParagraph"/>
        <w:numPr>
          <w:ilvl w:val="0"/>
          <w:numId w:val="2"/>
        </w:numPr>
      </w:pPr>
      <w:r>
        <w:rPr>
          <w:rFonts w:ascii="Arial" w:cs="Arial" w:eastAsia="Arial" w:hAnsi="Arial"/>
          <w:sz w:val="22"/>
          <w:szCs w:val="22"/>
        </w:rPr>
        <w:t xml:space="preserve">Programme receives perpetual, non-exclusive license for model training</w:t>
      </w:r>
    </w:p>
    <w:p>
      <w:pPr>
        <w:pStyle w:val="ListParagraph"/>
        <w:numPr>
          <w:ilvl w:val="0"/>
          <w:numId w:val="2"/>
        </w:numPr>
      </w:pPr>
      <w:r>
        <w:rPr>
          <w:rFonts w:ascii="Arial" w:cs="Arial" w:eastAsia="Arial" w:hAnsi="Arial"/>
          <w:sz w:val="22"/>
          <w:szCs w:val="22"/>
        </w:rPr>
        <w:t xml:space="preserve">Customer retains data ownership; can request deletion (except trained model weights)</w:t>
      </w:r>
    </w:p>
    <w:p>
      <w:pPr>
        <w:pStyle w:val="ListParagraph"/>
        <w:numPr>
          <w:ilvl w:val="0"/>
          <w:numId w:val="2"/>
        </w:numPr>
      </w:pPr>
      <w:r>
        <w:rPr>
          <w:rFonts w:ascii="Arial" w:cs="Arial" w:eastAsia="Arial" w:hAnsi="Arial"/>
          <w:sz w:val="22"/>
          <w:szCs w:val="22"/>
        </w:rPr>
        <w:t xml:space="preserve">Programme provides 6-month free tool usage during pilot</w:t>
      </w:r>
    </w:p>
    <w:p>
      <w:pPr>
        <w:pStyle w:val="ListParagraph"/>
        <w:numPr>
          <w:ilvl w:val="0"/>
          <w:numId w:val="2"/>
        </w:numPr>
      </w:pPr>
      <w:r>
        <w:rPr>
          <w:rFonts w:ascii="Arial" w:cs="Arial" w:eastAsia="Arial" w:hAnsi="Arial"/>
          <w:sz w:val="22"/>
          <w:szCs w:val="22"/>
        </w:rPr>
        <w:t xml:space="preserve">Customer receives 20% discount on production unit if pilot successful</w:t>
      </w:r>
    </w:p>
    <w:p>
      <w:pPr>
        <w:pStyle w:val="ListParagraph"/>
        <w:numPr>
          <w:ilvl w:val="0"/>
          <w:numId w:val="2"/>
        </w:numPr>
      </w:pPr>
      <w:r>
        <w:rPr>
          <w:rFonts w:ascii="Arial" w:cs="Arial" w:eastAsia="Arial" w:hAnsi="Arial"/>
          <w:sz w:val="22"/>
          <w:szCs w:val="22"/>
        </w:rPr>
        <w:t xml:space="preserve">Either party can terminate with 30 days notice; data license survives termination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8"/>
        <w:szCs w:val="18"/>
      </w:rPr>
      <w:t xml:space="preserve">Pico-Scale Welding: Feasibility Analysis | Aaron Garcia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120"/>
      <w:jc w:val="center"/>
    </w:pPr>
    <w:rPr>
      <w:rFonts w:ascii="Arial" w:cs="Arial" w:eastAsia="Arial" w:hAnsi="Arial"/>
      <w:b/>
      <w:bCs/>
      <w:color w:val="000000"/>
      <w:sz w:val="48"/>
      <w:szCs w:val="48"/>
    </w:rPr>
  </w:style>
  <w:style w:type="paragraph" w:styleId="Heading1">
    <w:name w:val="Heading 1"/>
    <w:basedOn w:val="Normal"/>
    <w:next w:val="Normal"/>
    <w:qFormat/>
    <w:pPr>
      <w:spacing w:before="360" w:after="120"/>
      <w:outlineLvl w:val="0"/>
    </w:pPr>
    <w:rPr>
      <w:rFonts w:ascii="Arial" w:cs="Arial" w:eastAsia="Arial" w:hAnsi="Arial"/>
      <w:b/>
      <w:bCs/>
      <w:color w:val="000000"/>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000000"/>
      <w:sz w:val="24"/>
      <w:szCs w:val="24"/>
    </w:rPr>
  </w:style>
  <w:style w:type="paragraph" w:styleId="Heading3">
    <w:name w:val="Heading 3"/>
    <w:basedOn w:val="Normal"/>
    <w:next w:val="Normal"/>
    <w:qFormat/>
    <w:pPr>
      <w:spacing w:before="200" w:after="1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2026-01-04T23:50:00.294Z</dcterms:created>
  <dcterms:modified xsi:type="dcterms:W3CDTF">2026-01-04T23:50:00.295Z</dcterms:modified>
</cp:coreProperties>
</file>

<file path=docProps/custom.xml><?xml version="1.0" encoding="utf-8"?>
<Properties xmlns="http://schemas.openxmlformats.org/officeDocument/2006/custom-properties" xmlns:vt="http://schemas.openxmlformats.org/officeDocument/2006/docPropsVTypes"/>
</file>