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40"/>
          <w:szCs w:val="40"/>
        </w:rPr>
        <w:t xml:space="preserve">Geomimetic Photonics</w:t>
      </w:r>
    </w:p>
    <w:p>
      <w:pPr>
        <w:spacing w:after="200"/>
        <w:jc w:val="left"/>
      </w:pPr>
      <w:r>
        <w:rPr>
          <w:rFonts w:ascii="Arial" w:cs="Arial" w:eastAsia="Arial" w:hAnsi="Arial"/>
          <w:color w:val="2E75B6"/>
          <w:sz w:val="26"/>
          <w:szCs w:val="26"/>
        </w:rPr>
        <w:t xml:space="preserve">Exploring the Boggild Framework as a Design Heuristic for Photonic Filter Optimisation</w:t>
      </w:r>
    </w:p>
    <w:p>
      <w:pPr>
        <w:spacing w:after="40"/>
      </w:pPr>
      <w:r>
        <w:rPr>
          <w:rFonts w:ascii="Arial" w:cs="Arial" w:eastAsia="Arial" w:hAnsi="Arial"/>
          <w:i/>
          <w:iCs/>
          <w:color w:val="555555"/>
          <w:sz w:val="22"/>
          <w:szCs w:val="22"/>
        </w:rPr>
        <w:t xml:space="preserve">A Speculative Framework for Cross-Domain Design Constraints</w:t>
      </w:r>
    </w:p>
    <w:p>
      <w:pPr>
        <w:spacing w:after="80"/>
      </w:pPr>
    </w:p>
    <w:p>
      <w:pPr>
        <w:spacing w:after="40"/>
      </w:pPr>
      <w:r>
        <w:rPr>
          <w:rFonts w:ascii="Arial" w:cs="Arial" w:eastAsia="Arial" w:hAnsi="Arial"/>
          <w:b/>
          <w:bCs/>
          <w:sz w:val="22"/>
          <w:szCs w:val="22"/>
        </w:rPr>
        <w:t xml:space="preserve">Aaron Garcia</w:t>
      </w:r>
    </w:p>
    <w:p>
      <w:pPr>
        <w:spacing w:after="40"/>
      </w:pPr>
      <w:r>
        <w:rPr>
          <w:rFonts w:ascii="Arial" w:cs="Arial" w:eastAsia="Arial" w:hAnsi="Arial"/>
          <w:color w:val="555555"/>
          <w:sz w:val="22"/>
          <w:szCs w:val="22"/>
        </w:rPr>
        <w:t xml:space="preserve">Independent Researcher</w:t>
      </w:r>
    </w:p>
    <w:p>
      <w:pPr>
        <w:spacing w:after="40"/>
      </w:pPr>
      <w:r>
        <w:rPr>
          <w:rFonts w:ascii="Arial" w:cs="Arial" w:eastAsia="Arial" w:hAnsi="Arial"/>
          <w:color w:val="2E75B6"/>
          <w:sz w:val="22"/>
          <w:szCs w:val="22"/>
        </w:rPr>
        <w:t xml:space="preserve">aaron@garcia.ltd</w:t>
      </w:r>
    </w:p>
    <w:p>
      <w:pPr>
        <w:spacing w:after="40"/>
      </w:pPr>
      <w:r>
        <w:rPr>
          <w:rFonts w:ascii="Arial" w:cs="Arial" w:eastAsia="Arial" w:hAnsi="Arial"/>
          <w:i/>
          <w:iCs/>
          <w:color w:val="555555"/>
          <w:sz w:val="20"/>
          <w:szCs w:val="20"/>
        </w:rPr>
        <w:t xml:space="preserve">ORCID: pending registration</w:t>
      </w:r>
    </w:p>
    <w:p>
      <w:pPr>
        <w:spacing w:after="80"/>
      </w:pPr>
    </w:p>
    <w:p>
      <w:pPr>
        <w:spacing w:after="40"/>
      </w:pPr>
      <w:r>
        <w:rPr>
          <w:rFonts w:ascii="Arial" w:cs="Arial" w:eastAsia="Arial" w:hAnsi="Arial"/>
          <w:color w:val="555555"/>
          <w:sz w:val="20"/>
          <w:szCs w:val="20"/>
        </w:rPr>
        <w:t xml:space="preserve">Collaboration Whitepaper  |  February 2026</w:t>
      </w:r>
    </w:p>
    <w:p>
      <w:pPr>
        <w:spacing w:after="200"/>
      </w:pPr>
      <w:r>
        <w:rPr>
          <w:rFonts w:ascii="Arial" w:cs="Arial" w:eastAsia="Arial" w:hAnsi="Arial"/>
          <w:i/>
          <w:iCs/>
          <w:color w:val="555555"/>
          <w:sz w:val="20"/>
          <w:szCs w:val="20"/>
        </w:rPr>
        <w:t xml:space="preserve">This document presents a hypothesis and an open invitation to test it—not a result or proof of concept.</w:t>
      </w:r>
    </w:p>
    <w:p>
      <w:pPr>
        <w:pStyle w:val="Heading1"/>
        <w:spacing w:after="120" w:before="360"/>
      </w:pPr>
      <w:r>
        <w:rPr>
          <w:rFonts w:ascii="Arial" w:cs="Arial" w:eastAsia="Arial" w:hAnsi="Arial"/>
          <w:b/>
          <w:bCs/>
          <w:color w:val="1F3864"/>
          <w:sz w:val="28"/>
          <w:szCs w:val="28"/>
        </w:rPr>
        <w:t xml:space="preserve">1.  Introduction</w:t>
      </w:r>
    </w:p>
    <w:p>
      <w:pPr>
        <w:spacing w:after="160" w:before="0" w:line="276"/>
        <w:jc w:val="both"/>
      </w:pPr>
      <w:r>
        <w:rPr>
          <w:rFonts w:ascii="Arial" w:cs="Arial" w:eastAsia="Arial" w:hAnsi="Arial"/>
          <w:b w:val="false"/>
          <w:bCs w:val="false"/>
          <w:i w:val="false"/>
          <w:iCs w:val="false"/>
          <w:color w:val="000000"/>
          <w:sz w:val="22"/>
          <w:szCs w:val="22"/>
        </w:rPr>
        <w:t xml:space="preserve">The photonic integrated circuit (PIC) market is valued at an estimated GBP 6–12 billion and is projected to grow toward GBP 20–30 billion by 2030, driven by datacom, telecom, and sensing applications. A persistent design challenge in PIC development is achieving sub-nanometre optical bandwidth in waveguide Bragg gratings—critical for dense wavelength-division multiplexing (DWDM) channel selection, narrow-linewidth distributed Bragg reflector (DBR) lasers, and emerging 1300–1550 nm vertical-cavity surface-emitting lasers (VCSELs).</w:t>
      </w:r>
    </w:p>
    <w:p>
      <w:pPr>
        <w:spacing w:after="160" w:before="0" w:line="276"/>
        <w:jc w:val="both"/>
      </w:pPr>
      <w:r>
        <w:rPr>
          <w:rFonts w:ascii="Arial" w:cs="Arial" w:eastAsia="Arial" w:hAnsi="Arial"/>
          <w:b w:val="false"/>
          <w:bCs w:val="false"/>
          <w:i w:val="false"/>
          <w:iCs w:val="false"/>
          <w:color w:val="000000"/>
          <w:sz w:val="22"/>
          <w:szCs w:val="22"/>
        </w:rPr>
        <w:t xml:space="preserve">This paper proposes investigating whether the Boggild miscibility gap—the geological phase diagram governing nanoscale lamellar exsolution in plagioclase feldspar—could serve as a design heuristic for narrowing the parameter search space in DBR grating optimisation on PIC platforms. The informal label “geomimetic photonics” describes the general approach of drawing design heuristics from geological rather than biological structures. The term is coined here for convenience and does not represent an established field; it is a descriptive label for a proposed line of enquiry.</w:t>
      </w:r>
    </w:p>
    <w:p>
      <w:pPr>
        <w:spacing w:after="160" w:before="0" w:line="276"/>
        <w:jc w:val="both"/>
      </w:pPr>
      <w:r>
        <w:rPr>
          <w:rFonts w:ascii="Arial" w:cs="Arial" w:eastAsia="Arial" w:hAnsi="Arial"/>
          <w:b w:val="false"/>
          <w:bCs w:val="false"/>
          <w:i w:val="false"/>
          <w:iCs w:val="false"/>
          <w:color w:val="000000"/>
          <w:sz w:val="22"/>
          <w:szCs w:val="22"/>
        </w:rPr>
        <w:t xml:space="preserve">This is a design methodology hypothesis. No constraint equation has been derived. No simulation has been run. No benchmark has been performed. The central question is whether the geological system provides a useful heuristic that, once formalised, could accelerate convergence in PIC grating optimisation compared to unconstrained numerical methods. That question remains entirely open.</w:t>
      </w:r>
    </w:p>
    <w:p>
      <w:pPr>
        <w:pStyle w:val="Heading1"/>
        <w:spacing w:after="120" w:before="360"/>
      </w:pPr>
      <w:r>
        <w:rPr>
          <w:rFonts w:ascii="Arial" w:cs="Arial" w:eastAsia="Arial" w:hAnsi="Arial"/>
          <w:b/>
          <w:bCs/>
          <w:color w:val="1F3864"/>
          <w:sz w:val="28"/>
          <w:szCs w:val="28"/>
        </w:rPr>
        <w:t xml:space="preserve">2.  Background</w:t>
      </w:r>
    </w:p>
    <w:p>
      <w:pPr>
        <w:pStyle w:val="Heading2"/>
        <w:spacing w:after="100" w:before="280"/>
      </w:pPr>
      <w:r>
        <w:rPr>
          <w:rFonts w:ascii="Arial" w:cs="Arial" w:eastAsia="Arial" w:hAnsi="Arial"/>
          <w:b/>
          <w:bCs/>
          <w:color w:val="2E75B6"/>
          <w:sz w:val="24"/>
          <w:szCs w:val="24"/>
        </w:rPr>
        <w:t xml:space="preserve">2.1  The Engineering Problem</w:t>
      </w:r>
    </w:p>
    <w:p>
      <w:pPr>
        <w:spacing w:after="160" w:before="0" w:line="276"/>
        <w:jc w:val="both"/>
      </w:pPr>
      <w:r>
        <w:rPr>
          <w:rFonts w:ascii="Arial" w:cs="Arial" w:eastAsia="Arial" w:hAnsi="Arial"/>
          <w:b w:val="false"/>
          <w:bCs w:val="false"/>
          <w:i w:val="false"/>
          <w:iCs w:val="false"/>
          <w:color w:val="000000"/>
          <w:sz w:val="22"/>
          <w:szCs w:val="22"/>
        </w:rPr>
        <w:t xml:space="preserve">On high-index-contrast platforms such as silicon-on-insulator, achieving narrow bandwidths demands complex, lossy side-wall corrugation. On inherently lower-contrast platforms—InP and silicon nitride (SiNx, commercially known as TriPleX on the LioniX platform)—low-coupling-coefficient gratings (kappa in the range 10–50 per centimetre) can reach 0.68–1.28 nm bandwidth with low propagation loss (approximately 2 dB/cm), as recently demonstrated by Kumar et al. (2024, JOSA B) on the SMART Photonics platform. These designs are typically arrived at through iterative numerical simulation, genetic algorithms, adjoint methods, or increasingly, machine-learning-driven inverse design.</w:t>
      </w:r>
    </w:p>
    <w:p>
      <w:pPr>
        <w:pStyle w:val="Heading2"/>
        <w:spacing w:after="100" w:before="280"/>
      </w:pPr>
      <w:r>
        <w:rPr>
          <w:rFonts w:ascii="Arial" w:cs="Arial" w:eastAsia="Arial" w:hAnsi="Arial"/>
          <w:b/>
          <w:bCs/>
          <w:color w:val="2E75B6"/>
          <w:sz w:val="24"/>
          <w:szCs w:val="24"/>
        </w:rPr>
        <w:t xml:space="preserve">2.2  Biomimetic Photonics and Its Geological Cousin</w:t>
      </w:r>
    </w:p>
    <w:p>
      <w:pPr>
        <w:spacing w:after="160" w:before="0" w:line="276"/>
        <w:jc w:val="both"/>
      </w:pPr>
      <w:r>
        <w:rPr>
          <w:rFonts w:ascii="Arial" w:cs="Arial" w:eastAsia="Arial" w:hAnsi="Arial"/>
          <w:b w:val="false"/>
          <w:bCs w:val="false"/>
          <w:i w:val="false"/>
          <w:iCs w:val="false"/>
          <w:color w:val="000000"/>
          <w:sz w:val="22"/>
          <w:szCs w:val="22"/>
        </w:rPr>
        <w:t xml:space="preserve">Biomimetic photonics is well established: butterfly wings, beetle cuticles, opal structures, and mineralised structures such as nacre have all inspired engineered photonic devices. These biological structures function as photonic devices in nature—they produce structural colour through periodic nanostructures evolved for that purpose.</w:t>
      </w:r>
    </w:p>
    <w:p>
      <w:pPr>
        <w:spacing w:after="160" w:before="0" w:line="276"/>
        <w:jc w:val="both"/>
      </w:pPr>
      <w:r>
        <w:rPr>
          <w:rFonts w:ascii="Arial" w:cs="Arial" w:eastAsia="Arial" w:hAnsi="Arial"/>
          <w:b w:val="false"/>
          <w:bCs w:val="false"/>
          <w:i w:val="false"/>
          <w:iCs w:val="false"/>
          <w:color w:val="000000"/>
          <w:sz w:val="22"/>
          <w:szCs w:val="22"/>
        </w:rPr>
        <w:t xml:space="preserve">Geological lamellar structures in feldspar are different. Labradorescence arises from thin-film interference in exsolution lamellae, but these structures were not formed for optical function and operate at scales and tolerances that do not directly correspond to PIC waveguide requirements. The analogy between biological and geological photonic structures is not automatic. It requires explicit justification for each property claimed to be transferable: periodicity ranges, refractive index contrasts, defect distributions, and tolerance profiles.</w:t>
      </w:r>
    </w:p>
    <w:p>
      <w:pPr>
        <w:pStyle w:val="Heading2"/>
        <w:spacing w:after="100" w:before="280"/>
      </w:pPr>
      <w:r>
        <w:rPr>
          <w:rFonts w:ascii="Arial" w:cs="Arial" w:eastAsia="Arial" w:hAnsi="Arial"/>
          <w:b/>
          <w:bCs/>
          <w:color w:val="2E75B6"/>
          <w:sz w:val="24"/>
          <w:szCs w:val="24"/>
        </w:rPr>
        <w:t xml:space="preserve">2.3  The Motivating Observation: Coupled Variables</w:t>
      </w:r>
    </w:p>
    <w:p>
      <w:pPr>
        <w:spacing w:after="160" w:before="0" w:line="276"/>
        <w:jc w:val="both"/>
      </w:pPr>
      <w:r>
        <w:rPr>
          <w:rFonts w:ascii="Arial" w:cs="Arial" w:eastAsia="Arial" w:hAnsi="Arial"/>
          <w:b w:val="false"/>
          <w:bCs w:val="false"/>
          <w:i w:val="false"/>
          <w:iCs w:val="false"/>
          <w:color w:val="000000"/>
          <w:sz w:val="22"/>
          <w:szCs w:val="22"/>
        </w:rPr>
        <w:t xml:space="preserve">What motivates investigation of the Boggild framework specifically is an observation about coupled variables. In the geological system, mineral composition simultaneously determines refractive index contrast (Δn) and lamellar periodicity through spinodal decomposition thermodynamics. In PIC grating design, Δn and grating period are normally treated as independently controllable parameters set by lithography and material deposition.</w:t>
      </w:r>
    </w:p>
    <w:p>
      <w:pPr>
        <w:spacing w:after="160" w:before="0" w:line="276"/>
        <w:jc w:val="both"/>
      </w:pPr>
      <w:r>
        <w:rPr>
          <w:rFonts w:ascii="Arial" w:cs="Arial" w:eastAsia="Arial" w:hAnsi="Arial"/>
          <w:b w:val="false"/>
          <w:bCs w:val="false"/>
          <w:i w:val="false"/>
          <w:iCs w:val="false"/>
          <w:color w:val="000000"/>
          <w:sz w:val="22"/>
          <w:szCs w:val="22"/>
        </w:rPr>
        <w:t xml:space="preserve">The hypothesis is that this geological coupling relationship, if it could be formalised as a mathematical constraint and mapped onto the PIC parameter space, might reduce the dimensionality of the optimisation problem.</w:t>
      </w:r>
    </w:p>
    <w:p>
      <w:pPr>
        <w:spacing w:after="160" w:before="0" w:line="276"/>
        <w:jc w:val="both"/>
      </w:pPr>
      <w:r>
        <w:rPr>
          <w:rFonts w:ascii="Arial" w:cs="Arial" w:eastAsia="Arial" w:hAnsi="Arial"/>
          <w:b w:val="false"/>
          <w:bCs w:val="false"/>
          <w:i w:val="false"/>
          <w:iCs w:val="false"/>
          <w:color w:val="000000"/>
          <w:sz w:val="22"/>
          <w:szCs w:val="22"/>
        </w:rPr>
        <w:t xml:space="preserve">This hypothesis carries a fundamental tension that must be stated plainly. The coupling in the geological system arises from thermodynamic equilibrium over millions of years. PIC fabrication occurs in milliseconds under non-equilibrium conditions where Δn and period are set by independent engineering choices. The geological coupling is a property of the source system, not necessarily of the target system. The question is whether the relationship between Δn and period that nature arrived at through equilibrium thermodynamics identifies a region of parameter space that is also optimal or near-optimal for the engineering problem—not whether the same physical mechanism operates in both domains.</w:t>
      </w:r>
    </w:p>
    <w:p>
      <w:pPr>
        <w:pStyle w:val="Heading1"/>
        <w:spacing w:after="120" w:before="360"/>
      </w:pPr>
      <w:r>
        <w:rPr>
          <w:rFonts w:ascii="Arial" w:cs="Arial" w:eastAsia="Arial" w:hAnsi="Arial"/>
          <w:b/>
          <w:bCs/>
          <w:color w:val="1F3864"/>
          <w:sz w:val="28"/>
          <w:szCs w:val="28"/>
        </w:rPr>
        <w:t xml:space="preserve">3.  The Conceptual Framework</w:t>
      </w:r>
    </w:p>
    <w:p>
      <w:pPr>
        <w:pStyle w:val="Heading2"/>
        <w:spacing w:after="100" w:before="280"/>
      </w:pPr>
      <w:r>
        <w:rPr>
          <w:rFonts w:ascii="Arial" w:cs="Arial" w:eastAsia="Arial" w:hAnsi="Arial"/>
          <w:b/>
          <w:bCs/>
          <w:color w:val="2E75B6"/>
          <w:sz w:val="24"/>
          <w:szCs w:val="24"/>
        </w:rPr>
        <w:t xml:space="preserve">3.1  Prior Art Search</w:t>
      </w:r>
    </w:p>
    <w:p>
      <w:pPr>
        <w:spacing w:after="160" w:before="0" w:line="276"/>
        <w:jc w:val="both"/>
      </w:pPr>
      <w:r>
        <w:rPr>
          <w:rFonts w:ascii="Arial" w:cs="Arial" w:eastAsia="Arial" w:hAnsi="Arial"/>
          <w:b w:val="false"/>
          <w:bCs w:val="false"/>
          <w:i w:val="false"/>
          <w:iCs w:val="false"/>
          <w:color w:val="000000"/>
          <w:sz w:val="22"/>
          <w:szCs w:val="22"/>
        </w:rPr>
        <w:t xml:space="preserve">A prior-art search was conducted across USPTO, EPO, WIPO, Google Scholar, and Web of Science during January–February 2026. No prior work was found that formalises a geological phase diagram as a constrained optimisation framework for PIC filter design. Independent verification of this search is required.</w:t>
      </w:r>
    </w:p>
    <w:p>
      <w:pPr>
        <w:spacing w:after="160" w:before="0" w:line="276"/>
        <w:jc w:val="both"/>
      </w:pPr>
      <w:r>
        <w:rPr>
          <w:rFonts w:ascii="Arial" w:cs="Arial" w:eastAsia="Arial" w:hAnsi="Arial"/>
          <w:b w:val="false"/>
          <w:bCs w:val="false"/>
          <w:i w:val="false"/>
          <w:iCs w:val="false"/>
          <w:color w:val="000000"/>
          <w:sz w:val="22"/>
          <w:szCs w:val="22"/>
        </w:rPr>
        <w:t xml:space="preserve">Absence of prior art is not evidence of value. The reason this approach may not have been pursued could be that the geological-to-photonic mapping is not useful, that the coupling does not transfer, or that existing optimisation methods already explore the relevant parameter space efficiently. Prior-art absence establishes only that the idea has not been tried, not that it should be.</w:t>
      </w:r>
    </w:p>
    <w:p>
      <w:pPr>
        <w:pStyle w:val="Heading2"/>
        <w:spacing w:after="100" w:before="280"/>
      </w:pPr>
      <w:r>
        <w:rPr>
          <w:rFonts w:ascii="Arial" w:cs="Arial" w:eastAsia="Arial" w:hAnsi="Arial"/>
          <w:b/>
          <w:bCs/>
          <w:color w:val="2E75B6"/>
          <w:sz w:val="24"/>
          <w:szCs w:val="24"/>
        </w:rPr>
        <w:t xml:space="preserve">3.2  Scope of the Novelty Claim</w:t>
      </w:r>
    </w:p>
    <w:p>
      <w:pPr>
        <w:spacing w:after="160" w:before="0" w:line="276"/>
        <w:jc w:val="both"/>
      </w:pPr>
      <w:r>
        <w:rPr>
          <w:rFonts w:ascii="Arial" w:cs="Arial" w:eastAsia="Arial" w:hAnsi="Arial"/>
          <w:b w:val="false"/>
          <w:bCs w:val="false"/>
          <w:i w:val="false"/>
          <w:iCs w:val="false"/>
          <w:color w:val="000000"/>
          <w:sz w:val="22"/>
          <w:szCs w:val="22"/>
        </w:rPr>
        <w:t xml:space="preserve">The specific claim is narrow: the Boggild thermodynamic relationship between Δn and layer periodicity, if it can be formalised as a mathematical constraint and shown to be applicable to the PIC parameter space, might reduce the optimisation search space for low-kappa grating design.</w:t>
      </w:r>
    </w:p>
    <w:p>
      <w:pPr>
        <w:spacing w:after="160" w:line="276"/>
        <w:jc w:val="both"/>
      </w:pPr>
      <w:r>
        <w:rPr>
          <w:rFonts w:ascii="Arial" w:cs="Arial" w:eastAsia="Arial" w:hAnsi="Arial"/>
          <w:b/>
          <w:bCs/>
          <w:color w:val="2E75B6"/>
          <w:sz w:val="22"/>
          <w:szCs w:val="22"/>
        </w:rPr>
        <w:t xml:space="preserve">[HYPOTHESIS] </w:t>
      </w:r>
      <w:r>
        <w:rPr>
          <w:rFonts w:ascii="Arial" w:cs="Arial" w:eastAsia="Arial" w:hAnsi="Arial"/>
          <w:sz w:val="22"/>
          <w:szCs w:val="22"/>
        </w:rPr>
        <w:t xml:space="preserve">This is a hypothesis about constrained optimisation. The Boggild phase diagram defines a relationship between feldspar composition (which determines Δn) and lamellar spacing (which determines period). If this relationship can be expressed as a functional constraint—for instance, an equality constraint of the form f(Δn, Λ) = 0, or a feasibility region in Δn versus Λ space—then it could be imposed on the PIC grating design problem to reduce the search from two independent variables to a one-dimensional curve or bounded region.</w:t>
      </w:r>
    </w:p>
    <w:p>
      <w:pPr>
        <w:spacing w:after="160" w:before="0" w:line="276"/>
        <w:jc w:val="both"/>
      </w:pPr>
      <w:r>
        <w:rPr>
          <w:rFonts w:ascii="Arial" w:cs="Arial" w:eastAsia="Arial" w:hAnsi="Arial"/>
          <w:b w:val="false"/>
          <w:bCs w:val="false"/>
          <w:i w:val="false"/>
          <w:iCs w:val="false"/>
          <w:color w:val="000000"/>
          <w:sz w:val="22"/>
          <w:szCs w:val="22"/>
        </w:rPr>
        <w:t xml:space="preserve">No such constraint equation has been derived. Deriving it is the first and gate-keeping task of any collaborative effort. Without it, the constrained-optimisation framing is a verbal description of an intended approach, not a technical result.</w:t>
      </w:r>
    </w:p>
    <w:p>
      <w:pPr>
        <w:spacing w:after="160" w:before="0" w:line="276"/>
        <w:jc w:val="both"/>
      </w:pPr>
      <w:r>
        <w:rPr>
          <w:rFonts w:ascii="Arial" w:cs="Arial" w:eastAsia="Arial" w:hAnsi="Arial"/>
          <w:b w:val="false"/>
          <w:bCs w:val="false"/>
          <w:i w:val="false"/>
          <w:iCs w:val="false"/>
          <w:color w:val="000000"/>
          <w:sz w:val="22"/>
          <w:szCs w:val="22"/>
        </w:rPr>
        <w:t xml:space="preserve">This proposal does not claim that a geologically derived constraint would find solutions that unconstrained methods (genetic algorithms, adjoint methods, inverse design) cannot find. Unconstrained methods explore the full parameter space and can, given sufficient computation, find any accessible optimum. The hypothesis is specifically about convergence efficiency: whether the geological heuristic identifies a productive subregion of parameter space that accelerates the search. This hypothesis is testable but has not been tested.</w:t>
      </w:r>
    </w:p>
    <w:p>
      <w:pPr>
        <w:spacing w:after="160" w:before="0" w:line="276"/>
        <w:jc w:val="both"/>
      </w:pPr>
      <w:r>
        <w:rPr>
          <w:rFonts w:ascii="Arial" w:cs="Arial" w:eastAsia="Arial" w:hAnsi="Arial"/>
          <w:b w:val="false"/>
          <w:bCs w:val="false"/>
          <w:i w:val="false"/>
          <w:iCs w:val="false"/>
          <w:color w:val="000000"/>
          <w:sz w:val="22"/>
          <w:szCs w:val="22"/>
        </w:rPr>
        <w:t xml:space="preserve">We assess this as a proposed variant of existing constrained-optimisation approaches rather than a new technology. Low-kappa gratings are demonstrated prior art. The potential novelty lies in the source of the design constraint, if one can be derived.</w:t>
      </w:r>
    </w:p>
    <w:p>
      <w:pPr>
        <w:pStyle w:val="Heading2"/>
        <w:spacing w:after="100" w:before="280"/>
      </w:pPr>
      <w:r>
        <w:rPr>
          <w:rFonts w:ascii="Arial" w:cs="Arial" w:eastAsia="Arial" w:hAnsi="Arial"/>
          <w:b/>
          <w:bCs/>
          <w:color w:val="2E75B6"/>
          <w:sz w:val="24"/>
          <w:szCs w:val="24"/>
        </w:rPr>
        <w:t xml:space="preserve">3.3  Gate Question: Formal Mapping</w:t>
      </w:r>
    </w:p>
    <w:p>
      <w:pPr>
        <w:spacing w:after="160" w:before="0" w:line="276"/>
        <w:jc w:val="both"/>
      </w:pPr>
      <w:r>
        <w:rPr>
          <w:rFonts w:ascii="Arial" w:cs="Arial" w:eastAsia="Arial" w:hAnsi="Arial"/>
          <w:b w:val="false"/>
          <w:bCs w:val="false"/>
          <w:i w:val="false"/>
          <w:iCs w:val="false"/>
          <w:color w:val="000000"/>
          <w:sz w:val="22"/>
          <w:szCs w:val="22"/>
        </w:rPr>
        <w:t xml:space="preserve">The load-bearing question for the entire framework is whether the Boggild phase diagram can be formally mapped onto InP and SiNx waveguide grating parameter spaces using coupled-mode theory. This requires: (a) extracting the Δn versus lamellar-period relationship from the Boggild phase diagram across the relevant composition range; (b) expressing this relationship as a mathematical function or bounded region; (c) mapping the geological variables (composition, Δn, period) onto PIC grating variables (effective index contrast, grating period, coupling coefficient) via coupled-mode theory; and (d) assessing whether the resulting constraint is non-trivial—that is, whether it excludes a meaningful portion of the PIC parameter space.</w:t>
      </w:r>
    </w:p>
    <w:p>
      <w:pPr>
        <w:spacing w:after="160" w:before="0" w:line="276"/>
        <w:jc w:val="both"/>
      </w:pPr>
      <w:r>
        <w:rPr>
          <w:rFonts w:ascii="Arial" w:cs="Arial" w:eastAsia="Arial" w:hAnsi="Arial"/>
          <w:b w:val="false"/>
          <w:bCs w:val="false"/>
          <w:i w:val="false"/>
          <w:iCs w:val="false"/>
          <w:color w:val="000000"/>
          <w:sz w:val="22"/>
          <w:szCs w:val="22"/>
        </w:rPr>
        <w:t xml:space="preserve">If this mapping cannot be achieved, or if the resulting constraint is trivially broad (excludes nothing) or trivially narrow (excludes everything except already-known designs), the framework has no value. This question must be answered before any other work proceeds. It requires mineralogical expertise combined with integrated photonics simulation and is the prerequisite for the entire framework.</w:t>
      </w:r>
    </w:p>
    <w:p>
      <w:pPr>
        <w:pStyle w:val="Heading2"/>
        <w:spacing w:after="100" w:before="280"/>
      </w:pPr>
      <w:r>
        <w:rPr>
          <w:rFonts w:ascii="Arial" w:cs="Arial" w:eastAsia="Arial" w:hAnsi="Arial"/>
          <w:b/>
          <w:bCs/>
          <w:color w:val="2E75B6"/>
          <w:sz w:val="24"/>
          <w:szCs w:val="24"/>
        </w:rPr>
        <w:t xml:space="preserve">3.4  Benchmark Requirement</w:t>
      </w:r>
    </w:p>
    <w:p>
      <w:pPr>
        <w:spacing w:after="160" w:before="0" w:line="276"/>
        <w:jc w:val="both"/>
      </w:pPr>
      <w:r>
        <w:rPr>
          <w:rFonts w:ascii="Arial" w:cs="Arial" w:eastAsia="Arial" w:hAnsi="Arial"/>
          <w:b w:val="false"/>
          <w:bCs w:val="false"/>
          <w:i w:val="false"/>
          <w:iCs w:val="false"/>
          <w:color w:val="000000"/>
          <w:sz w:val="22"/>
          <w:szCs w:val="22"/>
        </w:rPr>
        <w:t xml:space="preserve">If the formal mapping succeeds, the constrained method must be benchmarked against unconstrained numerical optimisation (genetic algorithm, adjoint method) on identical design targets. The comparison metrics should include bandwidth, sidelobe suppression, fabrication tolerance, and convergence efficiency.</w:t>
      </w:r>
    </w:p>
    <w:p>
      <w:pPr>
        <w:spacing w:after="160" w:before="0" w:line="276"/>
        <w:jc w:val="both"/>
      </w:pPr>
      <w:r>
        <w:rPr>
          <w:rFonts w:ascii="Arial" w:cs="Arial" w:eastAsia="Arial" w:hAnsi="Arial"/>
          <w:b w:val="false"/>
          <w:bCs w:val="false"/>
          <w:i w:val="false"/>
          <w:iCs w:val="false"/>
          <w:color w:val="000000"/>
          <w:sz w:val="22"/>
          <w:szCs w:val="22"/>
        </w:rPr>
        <w:t xml:space="preserve">Convergence efficiency here means specifically the number of objective-function evaluations required to reach a design within a specified performance tolerance—for example, the number of coupled-mode-theory simulations needed to find a grating design achieving a target bandwidth with specified sidelobe suppression. If the constrained method requires fewer evaluations to reach the same performance level, the geological heuristic has demonstrable value. If not, it does not. A comparative benchmark is essential; without it, the framework’s value cannot be assessed.</w:t>
      </w:r>
    </w:p>
    <w:p>
      <w:pPr>
        <w:pStyle w:val="Heading2"/>
        <w:spacing w:after="100" w:before="280"/>
      </w:pPr>
      <w:r>
        <w:rPr>
          <w:rFonts w:ascii="Arial" w:cs="Arial" w:eastAsia="Arial" w:hAnsi="Arial"/>
          <w:b/>
          <w:bCs/>
          <w:color w:val="2E75B6"/>
          <w:sz w:val="24"/>
          <w:szCs w:val="24"/>
        </w:rPr>
        <w:t xml:space="preserve">3.5  Exploratory Direction: Controlled Disorder</w:t>
      </w:r>
    </w:p>
    <w:p>
      <w:pPr>
        <w:spacing w:after="160" w:before="0" w:line="276"/>
        <w:jc w:val="both"/>
      </w:pPr>
      <w:r>
        <w:rPr>
          <w:rFonts w:ascii="Arial" w:cs="Arial" w:eastAsia="Arial" w:hAnsi="Arial"/>
          <w:b w:val="false"/>
          <w:bCs w:val="false"/>
          <w:i w:val="false"/>
          <w:iCs w:val="false"/>
          <w:color w:val="000000"/>
          <w:sz w:val="22"/>
          <w:szCs w:val="22"/>
        </w:rPr>
        <w:t xml:space="preserve">A secondary question—dependent on the gate question being answered affirmatively—concerns whether the natural imperfect periodicity observed in labradorite lamellae can be usefully translated to PIC design. Controlled disorder here refers to systematic deviations from perfect periodicity: chirped or apodised grating profiles where the period or coupling coefficient varies along the grating length according to a defined function rather than randomly. Engineered spectral complexity refers to filter responses with features beyond a single reflection peak, such as multi-band responses, flat-top passbands, or tailored sidelobe profiles.</w:t>
      </w:r>
    </w:p>
    <w:p>
      <w:pPr>
        <w:spacing w:after="160" w:before="0" w:line="276"/>
        <w:jc w:val="both"/>
      </w:pPr>
      <w:r>
        <w:rPr>
          <w:rFonts w:ascii="Arial" w:cs="Arial" w:eastAsia="Arial" w:hAnsi="Arial"/>
          <w:b w:val="false"/>
          <w:bCs w:val="false"/>
          <w:i w:val="false"/>
          <w:iCs w:val="false"/>
          <w:color w:val="000000"/>
          <w:sz w:val="22"/>
          <w:szCs w:val="22"/>
        </w:rPr>
        <w:t xml:space="preserve">This is noted as a potential extension, not a core claim.</w:t>
      </w:r>
    </w:p>
    <w:p>
      <w:pPr>
        <w:pStyle w:val="Heading1"/>
        <w:spacing w:after="120" w:before="360"/>
      </w:pPr>
      <w:r>
        <w:rPr>
          <w:rFonts w:ascii="Arial" w:cs="Arial" w:eastAsia="Arial" w:hAnsi="Arial"/>
          <w:b/>
          <w:bCs/>
          <w:color w:val="1F3864"/>
          <w:sz w:val="28"/>
          <w:szCs w:val="28"/>
        </w:rPr>
        <w:t xml:space="preserve">4.  Discussion and Limitations</w:t>
      </w:r>
    </w:p>
    <w:p>
      <w:pPr>
        <w:pStyle w:val="Heading2"/>
        <w:spacing w:after="100" w:before="280"/>
      </w:pPr>
      <w:r>
        <w:rPr>
          <w:rFonts w:ascii="Arial" w:cs="Arial" w:eastAsia="Arial" w:hAnsi="Arial"/>
          <w:b/>
          <w:bCs/>
          <w:color w:val="2E75B6"/>
          <w:sz w:val="24"/>
          <w:szCs w:val="24"/>
        </w:rPr>
        <w:t xml:space="preserve">4.1  Assumptions Requiring Validation</w:t>
      </w:r>
    </w:p>
    <w:p>
      <w:pPr>
        <w:spacing w:after="160" w:before="0" w:line="276"/>
        <w:jc w:val="both"/>
      </w:pPr>
      <w:r>
        <w:rPr>
          <w:rFonts w:ascii="Arial" w:cs="Arial" w:eastAsia="Arial" w:hAnsi="Arial"/>
          <w:b w:val="false"/>
          <w:bCs w:val="false"/>
          <w:i w:val="false"/>
          <w:iCs w:val="false"/>
          <w:color w:val="000000"/>
          <w:sz w:val="22"/>
          <w:szCs w:val="22"/>
        </w:rPr>
        <w:t xml:space="preserve">Several assumptions underlie this proposal. Each must be validated or refuted for the framework to hold any value, and they are stated here so that potential collaborators can assess which they consider tractable.</w:t>
      </w:r>
    </w:p>
    <w:p>
      <w:pPr>
        <w:spacing w:after="160" w:before="0" w:line="276"/>
        <w:jc w:val="both"/>
      </w:pPr>
      <w:r>
        <w:rPr>
          <w:rFonts w:ascii="Arial" w:cs="Arial" w:eastAsia="Arial" w:hAnsi="Arial"/>
          <w:b/>
          <w:bCs/>
          <w:i w:val="false"/>
          <w:iCs w:val="false"/>
          <w:color w:val="000000"/>
          <w:sz w:val="22"/>
          <w:szCs w:val="22"/>
        </w:rPr>
        <w:t xml:space="preserve">Transferability of equilibrium constraints to non-equilibrium fabrication.</w:t>
      </w:r>
      <w:r>
        <w:rPr>
          <w:rFonts w:ascii="Arial" w:cs="Arial" w:eastAsia="Arial" w:hAnsi="Arial"/>
          <w:b w:val="false"/>
          <w:bCs w:val="false"/>
          <w:i w:val="false"/>
          <w:iCs w:val="false"/>
          <w:color w:val="000000"/>
          <w:sz w:val="22"/>
          <w:szCs w:val="22"/>
        </w:rPr>
        <w:t xml:space="preserve"> The Boggild phase diagram describes equilibrium thermodynamic states achieved over geological timescales. PIC grating fabrication uses non-equilibrium processes (e-beam lithography, DUV exposure, thin-film deposition). The assumption that relationships derived from the equilibrium system transfer usefully to the non-equilibrium system is non-trivial. This is the most fundamental assumption and arguably the one most likely to fail.</w:t>
      </w:r>
    </w:p>
    <w:p>
      <w:pPr>
        <w:spacing w:after="160" w:before="0" w:line="276"/>
        <w:jc w:val="both"/>
      </w:pPr>
      <w:r>
        <w:rPr>
          <w:rFonts w:ascii="Arial" w:cs="Arial" w:eastAsia="Arial" w:hAnsi="Arial"/>
          <w:b/>
          <w:bCs/>
          <w:i w:val="false"/>
          <w:iCs w:val="false"/>
          <w:color w:val="000000"/>
          <w:sz w:val="22"/>
          <w:szCs w:val="22"/>
        </w:rPr>
        <w:t xml:space="preserve">Relevance of geological coupling in an engineering context.</w:t>
      </w:r>
      <w:r>
        <w:rPr>
          <w:rFonts w:ascii="Arial" w:cs="Arial" w:eastAsia="Arial" w:hAnsi="Arial"/>
          <w:b w:val="false"/>
          <w:bCs w:val="false"/>
          <w:i w:val="false"/>
          <w:iCs w:val="false"/>
          <w:color w:val="000000"/>
          <w:sz w:val="22"/>
          <w:szCs w:val="22"/>
        </w:rPr>
        <w:t xml:space="preserve"> In PIC fabrication, Δn and grating period are independently controllable. The geological coupling between these variables is a property of the mineral system, not the engineering system. The assumption is that this coupling identifies a region of the engineering parameter space that is near-optimal for filter performance—that nature’s equilibrium solution to “what combinations of Δn and period are stable” overlaps usefully with the engineering question of “what combinations produce good filters.” This overlap is plausible but undemonstrated.</w:t>
      </w:r>
    </w:p>
    <w:p>
      <w:pPr>
        <w:spacing w:after="160" w:before="0" w:line="276"/>
        <w:jc w:val="both"/>
      </w:pPr>
      <w:r>
        <w:rPr>
          <w:rFonts w:ascii="Arial" w:cs="Arial" w:eastAsia="Arial" w:hAnsi="Arial"/>
          <w:b/>
          <w:bCs/>
          <w:i w:val="false"/>
          <w:iCs w:val="false"/>
          <w:color w:val="000000"/>
          <w:sz w:val="22"/>
          <w:szCs w:val="22"/>
        </w:rPr>
        <w:t xml:space="preserve">Value of search space reduction.</w:t>
      </w:r>
      <w:r>
        <w:rPr>
          <w:rFonts w:ascii="Arial" w:cs="Arial" w:eastAsia="Arial" w:hAnsi="Arial"/>
          <w:b w:val="false"/>
          <w:bCs w:val="false"/>
          <w:i w:val="false"/>
          <w:iCs w:val="false"/>
          <w:color w:val="000000"/>
          <w:sz w:val="22"/>
          <w:szCs w:val="22"/>
        </w:rPr>
        <w:t xml:space="preserve"> Even if the geological constraint is valid and transferable, the unconstrained parameter space for low-kappa grating design may already be tractable with existing methods. If genetic algorithms or adjoint methods already converge efficiently in this space, adding a geological constraint provides no practical benefit. This assumption has not been benchmarked.</w:t>
      </w:r>
    </w:p>
    <w:p>
      <w:pPr>
        <w:spacing w:after="160" w:before="0" w:line="276"/>
        <w:jc w:val="both"/>
      </w:pPr>
      <w:r>
        <w:rPr>
          <w:rFonts w:ascii="Arial" w:cs="Arial" w:eastAsia="Arial" w:hAnsi="Arial"/>
          <w:b/>
          <w:bCs/>
          <w:i w:val="false"/>
          <w:iCs w:val="false"/>
          <w:color w:val="000000"/>
          <w:sz w:val="22"/>
          <w:szCs w:val="22"/>
        </w:rPr>
        <w:t xml:space="preserve">Appropriateness of the Boggild system specifically.</w:t>
      </w:r>
      <w:r>
        <w:rPr>
          <w:rFonts w:ascii="Arial" w:cs="Arial" w:eastAsia="Arial" w:hAnsi="Arial"/>
          <w:b w:val="false"/>
          <w:bCs w:val="false"/>
          <w:i w:val="false"/>
          <w:iCs w:val="false"/>
          <w:color w:val="000000"/>
          <w:sz w:val="22"/>
          <w:szCs w:val="22"/>
        </w:rPr>
        <w:t xml:space="preserve"> Other spinodal or exsolution systems in mineralogy may provide different or better constraint relationships. The choice of the Boggild miscibility gap is motivated by its well-characterised phase diagram and the optical properties of labradorite, but a systematic comparison with alternative geological systems has not been performed.</w:t>
      </w:r>
    </w:p>
    <w:p>
      <w:pPr>
        <w:spacing w:after="160" w:before="0" w:line="276"/>
        <w:jc w:val="both"/>
      </w:pPr>
      <w:r>
        <w:rPr>
          <w:rFonts w:ascii="Arial" w:cs="Arial" w:eastAsia="Arial" w:hAnsi="Arial"/>
          <w:b/>
          <w:bCs/>
          <w:i w:val="false"/>
          <w:iCs w:val="false"/>
          <w:color w:val="000000"/>
          <w:sz w:val="22"/>
          <w:szCs w:val="22"/>
        </w:rPr>
        <w:t xml:space="preserve">Existence of a formalisable constraint.</w:t>
      </w:r>
      <w:r>
        <w:rPr>
          <w:rFonts w:ascii="Arial" w:cs="Arial" w:eastAsia="Arial" w:hAnsi="Arial"/>
          <w:b w:val="false"/>
          <w:bCs w:val="false"/>
          <w:i w:val="false"/>
          <w:iCs w:val="false"/>
          <w:color w:val="000000"/>
          <w:sz w:val="22"/>
          <w:szCs w:val="22"/>
        </w:rPr>
        <w:t xml:space="preserve"> The assumption that the Boggild phase diagram can be converted into a mathematical constraint suitable for numerical optimisation has not been tested. The geological data may be too noisy, too discontinuous, or too poorly resolved in the relevant composition range to yield a useful functional form.</w:t>
      </w:r>
    </w:p>
    <w:p>
      <w:pPr>
        <w:pStyle w:val="Heading2"/>
        <w:spacing w:after="100" w:before="280"/>
      </w:pPr>
      <w:r>
        <w:rPr>
          <w:rFonts w:ascii="Arial" w:cs="Arial" w:eastAsia="Arial" w:hAnsi="Arial"/>
          <w:b/>
          <w:bCs/>
          <w:color w:val="2E75B6"/>
          <w:sz w:val="24"/>
          <w:szCs w:val="24"/>
        </w:rPr>
        <w:t xml:space="preserve">4.2  Risk: Trivial or Redundant Framework</w:t>
      </w:r>
    </w:p>
    <w:p>
      <w:pPr>
        <w:spacing w:after="160" w:before="0" w:line="276"/>
        <w:jc w:val="both"/>
      </w:pPr>
      <w:r>
        <w:rPr>
          <w:rFonts w:ascii="Arial" w:cs="Arial" w:eastAsia="Arial" w:hAnsi="Arial"/>
          <w:b w:val="false"/>
          <w:bCs w:val="false"/>
          <w:i w:val="false"/>
          <w:iCs w:val="false"/>
          <w:color w:val="000000"/>
          <w:sz w:val="22"/>
          <w:szCs w:val="22"/>
        </w:rPr>
        <w:t xml:space="preserve">If the Boggild-constrained optimisation produces filter designs equivalent to or worse than existing methods, the methodology has no adoption path. If the geological constraint simply replicates a region of parameter space that competent PIC designers already explore intuitively, the framework adds terminology without value. This cannot be determined without the comparative experiment described in Section 3.4. No collaborator should invest significant time without first seeing the result of the gate question in Section 3.3.</w:t>
      </w:r>
    </w:p>
    <w:p>
      <w:pPr>
        <w:pStyle w:val="Heading2"/>
        <w:spacing w:after="100" w:before="280"/>
      </w:pPr>
      <w:r>
        <w:rPr>
          <w:rFonts w:ascii="Arial" w:cs="Arial" w:eastAsia="Arial" w:hAnsi="Arial"/>
          <w:b/>
          <w:bCs/>
          <w:color w:val="2E75B6"/>
          <w:sz w:val="24"/>
          <w:szCs w:val="24"/>
        </w:rPr>
        <w:t xml:space="preserve">4.3  Rare Collaborator Combination</w:t>
      </w:r>
    </w:p>
    <w:p>
      <w:pPr>
        <w:spacing w:after="160" w:before="0" w:line="276"/>
        <w:jc w:val="both"/>
      </w:pPr>
      <w:r>
        <w:rPr>
          <w:rFonts w:ascii="Arial" w:cs="Arial" w:eastAsia="Arial" w:hAnsi="Arial"/>
          <w:b w:val="false"/>
          <w:bCs w:val="false"/>
          <w:i w:val="false"/>
          <w:iCs w:val="false"/>
          <w:color w:val="000000"/>
          <w:sz w:val="22"/>
          <w:szCs w:val="22"/>
        </w:rPr>
        <w:t xml:space="preserve">The research requires a mineralogist with quantitative feldspar phase-diagram expertise and a PIC simulation engineer in the same project. This is an unusual combination. The risk is not merely a staffing concern for ongoing work—it is a barrier to initiation. Even if the framework proves valuable, it may not be replicable or extensible without this specific expertise pairing, which limits its utility as a general methodology.</w:t>
      </w:r>
    </w:p>
    <w:p>
      <w:pPr>
        <w:pStyle w:val="Heading2"/>
        <w:spacing w:after="100" w:before="280"/>
      </w:pPr>
      <w:r>
        <w:rPr>
          <w:rFonts w:ascii="Arial" w:cs="Arial" w:eastAsia="Arial" w:hAnsi="Arial"/>
          <w:b/>
          <w:bCs/>
          <w:color w:val="2E75B6"/>
          <w:sz w:val="24"/>
          <w:szCs w:val="24"/>
        </w:rPr>
        <w:t xml:space="preserve">4.4  Competition from Inverse Design</w:t>
      </w:r>
    </w:p>
    <w:p>
      <w:pPr>
        <w:spacing w:after="160" w:before="0" w:line="276"/>
        <w:jc w:val="both"/>
      </w:pPr>
      <w:r>
        <w:rPr>
          <w:rFonts w:ascii="Arial" w:cs="Arial" w:eastAsia="Arial" w:hAnsi="Arial"/>
          <w:b w:val="false"/>
          <w:bCs w:val="false"/>
          <w:i w:val="false"/>
          <w:iCs w:val="false"/>
          <w:color w:val="000000"/>
          <w:sz w:val="22"/>
          <w:szCs w:val="22"/>
        </w:rPr>
        <w:t xml:space="preserve">The PIC design field is moving rapidly toward machine-learning-driven inverse design methods, which already outperform human-guided constrained methods in many photonic domains. These methods can explore parameter spaces without requiring physical intuition or domain-specific heuristics. If geomimetic optimisation cannot demonstrably improve upon these results within the near term, it will be of only historical or pedagogical interest.</w:t>
      </w:r>
    </w:p>
    <w:p>
      <w:pPr>
        <w:pStyle w:val="Heading2"/>
        <w:spacing w:after="100" w:before="280"/>
      </w:pPr>
      <w:r>
        <w:rPr>
          <w:rFonts w:ascii="Arial" w:cs="Arial" w:eastAsia="Arial" w:hAnsi="Arial"/>
          <w:b/>
          <w:bCs/>
          <w:color w:val="2E75B6"/>
          <w:sz w:val="24"/>
          <w:szCs w:val="24"/>
        </w:rPr>
        <w:t xml:space="preserve">4.5  The Equilibrium-to-Fabrication Translation Gap</w:t>
      </w:r>
    </w:p>
    <w:p>
      <w:pPr>
        <w:spacing w:after="160" w:before="0" w:line="276"/>
        <w:jc w:val="both"/>
      </w:pPr>
      <w:r>
        <w:rPr>
          <w:rFonts w:ascii="Arial" w:cs="Arial" w:eastAsia="Arial" w:hAnsi="Arial"/>
          <w:b w:val="false"/>
          <w:bCs w:val="false"/>
          <w:i w:val="false"/>
          <w:iCs w:val="false"/>
          <w:color w:val="000000"/>
          <w:sz w:val="22"/>
          <w:szCs w:val="22"/>
        </w:rPr>
        <w:t xml:space="preserve">As discussed in Section 2 and the transferability assumption above, the thermodynamic constraints of the geological model may not translate to manufacturing reality. The equilibrium-to-non-equilibrium gap is the most likely single point of failure for the entire proposal.</w:t>
      </w:r>
    </w:p>
    <w:p>
      <w:pPr>
        <w:pStyle w:val="Heading2"/>
        <w:spacing w:after="100" w:before="280"/>
      </w:pPr>
      <w:r>
        <w:rPr>
          <w:rFonts w:ascii="Arial" w:cs="Arial" w:eastAsia="Arial" w:hAnsi="Arial"/>
          <w:b/>
          <w:bCs/>
          <w:color w:val="2E75B6"/>
          <w:sz w:val="24"/>
          <w:szCs w:val="24"/>
        </w:rPr>
        <w:t xml:space="preserve">4.6  Reputational Risk of Premature Terminology</w:t>
      </w:r>
    </w:p>
    <w:p>
      <w:pPr>
        <w:spacing w:after="160" w:before="0" w:line="276"/>
        <w:jc w:val="both"/>
      </w:pPr>
      <w:r>
        <w:rPr>
          <w:rFonts w:ascii="Arial" w:cs="Arial" w:eastAsia="Arial" w:hAnsi="Arial"/>
          <w:b w:val="false"/>
          <w:bCs w:val="false"/>
          <w:i w:val="false"/>
          <w:iCs w:val="false"/>
          <w:color w:val="000000"/>
          <w:sz w:val="22"/>
          <w:szCs w:val="22"/>
        </w:rPr>
        <w:t xml:space="preserve">The label “geomimetic photonics” could be seen as rhetorical overreach if the underlying framework proves trivial or unfounded. The term is used here as a convenient shorthand, not as a claim that a new field exists. If the mapping in Section 3.3 fails, the term should be retired.</w:t>
      </w:r>
    </w:p>
    <w:p>
      <w:pPr>
        <w:pStyle w:val="Heading1"/>
        <w:spacing w:after="120" w:before="360"/>
      </w:pPr>
      <w:r>
        <w:rPr>
          <w:rFonts w:ascii="Arial" w:cs="Arial" w:eastAsia="Arial" w:hAnsi="Arial"/>
          <w:b/>
          <w:bCs/>
          <w:color w:val="1F3864"/>
          <w:sz w:val="28"/>
          <w:szCs w:val="28"/>
        </w:rPr>
        <w:t xml:space="preserve">5.  Conclusion</w:t>
      </w:r>
    </w:p>
    <w:p>
      <w:pPr>
        <w:spacing w:after="160" w:before="0" w:line="276"/>
        <w:jc w:val="both"/>
      </w:pPr>
      <w:r>
        <w:rPr>
          <w:rFonts w:ascii="Arial" w:cs="Arial" w:eastAsia="Arial" w:hAnsi="Arial"/>
          <w:b w:val="false"/>
          <w:bCs w:val="false"/>
          <w:i w:val="false"/>
          <w:iCs w:val="false"/>
          <w:color w:val="000000"/>
          <w:sz w:val="22"/>
          <w:szCs w:val="22"/>
        </w:rPr>
        <w:t xml:space="preserve">This paper has presented a hypothesis: that the Boggild miscibility gap, a geological phase diagram governing nanoscale lamellar exsolution in plagioclase feldspar, may serve as a source of design constraints for DBR grating optimisation on photonic integrated circuit platforms. The hypothesis is untested. Its value rests entirely on whether the geological coupling between refractive index contrast and lamellar periodicity can be formalised as a mathematical constraint and shown to identify a productive subregion of the PIC design parameter space.</w:t>
      </w:r>
    </w:p>
    <w:p>
      <w:pPr>
        <w:spacing w:after="160" w:before="0" w:line="276"/>
        <w:jc w:val="both"/>
      </w:pPr>
      <w:r>
        <w:rPr>
          <w:rFonts w:ascii="Arial" w:cs="Arial" w:eastAsia="Arial" w:hAnsi="Arial"/>
          <w:b w:val="false"/>
          <w:bCs w:val="false"/>
          <w:i w:val="false"/>
          <w:iCs w:val="false"/>
          <w:color w:val="000000"/>
          <w:sz w:val="22"/>
          <w:szCs w:val="22"/>
        </w:rPr>
        <w:t xml:space="preserve">The paper has attempted to state this hypothesis honestly—identifying its assumptions, the most probable failure modes, and the specific experiments required to validate or refute it. The gate question (Section 3.3) is non-negotiable: if the formal mapping from the Boggild phase diagram to PIC grating parameters cannot be achieved, the framework has no value and the terminology should be abandoned.</w:t>
      </w:r>
    </w:p>
    <w:p>
      <w:pPr>
        <w:spacing w:after="160" w:before="0" w:line="276"/>
        <w:jc w:val="both"/>
      </w:pPr>
      <w:r>
        <w:rPr>
          <w:rFonts w:ascii="Arial" w:cs="Arial" w:eastAsia="Arial" w:hAnsi="Arial"/>
          <w:b w:val="false"/>
          <w:bCs w:val="false"/>
          <w:i w:val="false"/>
          <w:iCs w:val="false"/>
          <w:color w:val="000000"/>
          <w:sz w:val="22"/>
          <w:szCs w:val="22"/>
        </w:rPr>
        <w:t xml:space="preserve">We seek collaborators, not funding. The invitation is open to researchers with expertise in photonic integrated circuit design, InP and SiNx foundry processes, geological mineralogy, mathematical optimisation, and VCSEL development. Critique is as valuable as collaboration—identifying why this approach cannot work is a useful result.</w:t>
      </w:r>
    </w:p>
    <w:p>
      <w:pPr>
        <w:spacing w:after="160" w:before="0" w:line="276"/>
        <w:jc w:val="both"/>
      </w:pPr>
      <w:r>
        <w:rPr>
          <w:rFonts w:ascii="Arial" w:cs="Arial" w:eastAsia="Arial" w:hAnsi="Arial"/>
          <w:b w:val="false"/>
          <w:bCs w:val="false"/>
          <w:i w:val="false"/>
          <w:iCs w:val="false"/>
          <w:color w:val="000000"/>
          <w:sz w:val="22"/>
          <w:szCs w:val="22"/>
        </w:rPr>
        <w:t xml:space="preserve">All intellectual property generated through collaboration would be jointly held under terms agreed prior to commencement of work.</w:t>
      </w:r>
    </w:p>
    <w:p>
      <w:pPr>
        <w:spacing w:after="80" w:before="200"/>
      </w:pPr>
      <w:r>
        <w:rPr>
          <w:rFonts w:ascii="Arial" w:cs="Arial" w:eastAsia="Arial" w:hAnsi="Arial"/>
          <w:b/>
          <w:bCs/>
          <w:sz w:val="22"/>
          <w:szCs w:val="22"/>
        </w:rPr>
        <w:t xml:space="preserve">Contact: </w:t>
      </w:r>
      <w:r>
        <w:rPr>
          <w:rFonts w:ascii="Arial" w:cs="Arial" w:eastAsia="Arial" w:hAnsi="Arial"/>
          <w:color w:val="2E75B6"/>
          <w:sz w:val="22"/>
          <w:szCs w:val="22"/>
        </w:rPr>
        <w:t xml:space="preserve">aaron@garcia.ltd</w:t>
      </w:r>
    </w:p>
    <w:p>
      <w:pPr>
        <w:pStyle w:val="Heading1"/>
        <w:spacing w:after="120" w:before="360"/>
      </w:pPr>
      <w:r>
        <w:rPr>
          <w:rFonts w:ascii="Arial" w:cs="Arial" w:eastAsia="Arial" w:hAnsi="Arial"/>
          <w:b/>
          <w:bCs/>
          <w:color w:val="1F3864"/>
          <w:sz w:val="28"/>
          <w:szCs w:val="28"/>
        </w:rPr>
        <w:t xml:space="preserve">6.  References</w:t>
      </w:r>
    </w:p>
    <w:p>
      <w:pPr>
        <w:spacing w:after="160" w:before="0" w:line="276"/>
        <w:jc w:val="both"/>
      </w:pPr>
      <w:r>
        <w:rPr>
          <w:rFonts w:ascii="Arial" w:cs="Arial" w:eastAsia="Arial" w:hAnsi="Arial"/>
          <w:b w:val="false"/>
          <w:bCs w:val="false"/>
          <w:i w:val="false"/>
          <w:iCs w:val="false"/>
          <w:color w:val="000000"/>
          <w:sz w:val="22"/>
          <w:szCs w:val="22"/>
        </w:rPr>
        <w:t xml:space="preserve">Kumar, R.R. et al. (2024) Low-coupling-coefficient waveguide Bragg gratings on the SMART Photonics InP platform. Journal of the Optical Society of America B.</w:t>
      </w:r>
    </w:p>
    <w:p>
      <w:pPr>
        <w:spacing w:after="160" w:before="0" w:line="276"/>
        <w:jc w:val="both"/>
      </w:pPr>
      <w:r>
        <w:rPr>
          <w:rFonts w:ascii="Arial" w:cs="Arial" w:eastAsia="Arial" w:hAnsi="Arial"/>
          <w:b w:val="false"/>
          <w:bCs w:val="false"/>
          <w:i w:val="false"/>
          <w:iCs w:val="false"/>
          <w:color w:val="000000"/>
          <w:sz w:val="22"/>
          <w:szCs w:val="22"/>
        </w:rPr>
        <w:t xml:space="preserve">Maldovan, M. and Thomas, E.L. (2004) Diamond-structured photonic crystals. Nature Materials, 3, pp. 593–600.</w:t>
      </w:r>
    </w:p>
    <w:p>
      <w:pPr>
        <w:spacing w:after="160" w:before="0" w:line="276"/>
        <w:jc w:val="both"/>
      </w:pPr>
      <w:r>
        <w:rPr>
          <w:rFonts w:ascii="Arial" w:cs="Arial" w:eastAsia="Arial" w:hAnsi="Arial"/>
          <w:b w:val="false"/>
          <w:bCs w:val="false"/>
          <w:i w:val="false"/>
          <w:iCs w:val="false"/>
          <w:color w:val="000000"/>
          <w:sz w:val="22"/>
          <w:szCs w:val="22"/>
        </w:rPr>
        <w:t xml:space="preserve">Jin, H.J. and Kaplan, D.L. (2003) Mechanism of silk processing in insects and spiders. Nature, 424, pp. 1057–1061.</w:t>
      </w:r>
    </w:p>
    <w:p>
      <w:pPr>
        <w:spacing w:after="80"/>
      </w:pPr>
    </w:p>
    <w:p>
      <w:pPr>
        <w:spacing w:after="160" w:before="0" w:line="276"/>
        <w:jc w:val="both"/>
      </w:pPr>
      <w:r>
        <w:rPr>
          <w:rFonts w:ascii="Arial" w:cs="Arial" w:eastAsia="Arial" w:hAnsi="Arial"/>
          <w:b w:val="false"/>
          <w:bCs w:val="false"/>
          <w:i/>
          <w:iCs/>
          <w:color w:val="000000"/>
          <w:sz w:val="22"/>
          <w:szCs w:val="22"/>
        </w:rPr>
        <w:t xml:space="preserve">Internal project documents (not externally verifiable) informed the development of this work. They are listed for transparency but cannot be independently verified. Claims should be evaluated on the basis of the arguments and references presented here.</w:t>
      </w:r>
    </w:p>
    <w:p>
      <w:r>
        <w:br w:type="page"/>
      </w:r>
    </w:p>
    <w:p>
      <w:pPr>
        <w:pStyle w:val="Heading1"/>
        <w:spacing w:after="120" w:before="360"/>
      </w:pPr>
      <w:r>
        <w:rPr>
          <w:rFonts w:ascii="Arial" w:cs="Arial" w:eastAsia="Arial" w:hAnsi="Arial"/>
          <w:b/>
          <w:bCs/>
          <w:color w:val="1F3864"/>
          <w:sz w:val="28"/>
          <w:szCs w:val="28"/>
        </w:rPr>
        <w:t xml:space="preserve">Appendix A: Document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Field</w:t>
            </w:r>
          </w:p>
        </w:tc>
        <w:tc>
          <w:tcPr>
            <w:tcW w:type="dxa" w:w="63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Value</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Title</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Geomimetic Photonics: Exploring the Boggild Framework as a Design Heuristic for Photonic Filter Optimisation</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Subtitle</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 Speculative Framework for Cross-Domain Design Constraints</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GUID</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AG-2026-0225-1341</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Version</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1.0</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Date</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25 February 2026</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Author</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Aaron Garcia</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Affiliation</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Independent Researcher</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Contact</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aaron@garcia.ltd</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ORCID</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Pending registration</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Origin Context</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Developed from cross-domain observation linking geological exsolution phase diagrams to photonic grating design parameter spaces</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Status</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Final Draft</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Classification</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Scientific / Conceptual (Type A)</w:t>
            </w:r>
          </w:p>
        </w:tc>
      </w:tr>
      <w:tr>
        <w:tc>
          <w:tcPr>
            <w:tcW w:type="dxa" w:w="3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Evidence Level</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[HYPOTHESIS] — Speculative framework requiring further work</w:t>
            </w:r>
          </w:p>
        </w:tc>
      </w:tr>
    </w:tbl>
    <w:p>
      <w:r>
        <w:br w:type="page"/>
      </w:r>
    </w:p>
    <w:p>
      <w:pPr>
        <w:pStyle w:val="Heading1"/>
        <w:spacing w:after="120" w:before="360"/>
      </w:pPr>
      <w:r>
        <w:rPr>
          <w:rFonts w:ascii="Arial" w:cs="Arial" w:eastAsia="Arial" w:hAnsi="Arial"/>
          <w:b/>
          <w:bCs/>
          <w:color w:val="1F3864"/>
          <w:sz w:val="28"/>
          <w:szCs w:val="28"/>
        </w:rPr>
        <w:t xml:space="preserve">Appendix B: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Term</w:t>
            </w:r>
          </w:p>
        </w:tc>
        <w:tc>
          <w:tcPr>
            <w:tcW w:type="dxa" w:w="67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Definition</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PIC</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Photonic Integrated Circuit — an integrated device combining multiple photonic functions on a single chip</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DBR</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Distributed Bragg Reflector — a periodic grating structure that selectively reflects a narrow band of wavelengths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DWDM</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Dense Wavelength-Division Multiplexing — a fibre-optic transmission technique using multiple closely spaced wavelengths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VCSEL</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Vertical-Cavity Surface-Emitting Laser — a semiconductor laser that emits light perpendicular to the chip surface</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SiNx</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Silicon Nitride — a low-loss waveguide platform; commercially available as TriPleX on the LioniX platform</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InP</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Indium Phosphide — a semiconductor platform used for photonic integration, particularly in telecom wavelengths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Δn</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Refractive index contrast — the difference in refractive index between two materials or layers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Λ (Lambda)</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Grating period — the spatial repetition length of a periodic structure</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Kappa (κ)</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Coupling coefficient — a measure of the strength of interaction between forward- and backward-propagating modes in a grating</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Boggild Miscibility Gap</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 region in the plagioclase feldspar phase diagram where two distinct compositions coexist, producing nanoscale lamellar exsolution structures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Spinodal Decomposition</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 mechanism of phase separation in which a homogeneous mixture spontaneously separates into two phases without nucleation</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Labradorescence</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The iridescent optical phenomenon in labradorite feldspar, arising from thin-film interference in exsolution lamellae</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Geomimetic Photonics</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 coined term describing the approach of drawing photonic design heuristics from geological rather than biological structures; not an established field</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Coupled-Mode Theory</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An analytical framework for describing the interaction of optical modes in periodic structures such as Bragg gratings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Adjoint Method</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A gradient-based optimisation technique used in photonic design to efficiently compute derivatives of an objective function</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Controlled Disorder</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Systematic deviations from perfect periodicity in a grating (e.g., chirped or apodised profiles) as distinct from random defects</w:t>
            </w:r>
          </w:p>
        </w:tc>
      </w:tr>
      <w:tr>
        <w:tc>
          <w:tcPr>
            <w:tcW w:type="dxa" w:w="2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Convergence Efficiency</w:t>
            </w:r>
          </w:p>
        </w:tc>
        <w:tc>
          <w:tcPr>
            <w:tcW w:type="dxa" w:w="67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The number of objective-function evaluations required to reach a design within a specified performance tolerance</w:t>
            </w:r>
          </w:p>
        </w:tc>
      </w:tr>
    </w:tbl>
    <w:p>
      <w:r>
        <w:br w:type="page"/>
      </w:r>
    </w:p>
    <w:p>
      <w:pPr>
        <w:pStyle w:val="Heading1"/>
        <w:spacing w:after="120" w:before="360"/>
      </w:pPr>
      <w:r>
        <w:rPr>
          <w:rFonts w:ascii="Arial" w:cs="Arial" w:eastAsia="Arial" w:hAnsi="Arial"/>
          <w:b/>
          <w:bCs/>
          <w:color w:val="1F3864"/>
          <w:sz w:val="28"/>
          <w:szCs w:val="28"/>
        </w:rPr>
        <w:t xml:space="preserve">Appendix C: Methodology and Transparency Statement</w:t>
      </w:r>
    </w:p>
    <w:p>
      <w:pPr>
        <w:spacing w:after="120" w:line="276"/>
      </w:pPr>
      <w:r>
        <w:rPr>
          <w:rFonts w:ascii="Arial" w:cs="Arial" w:eastAsia="Arial" w:hAnsi="Arial"/>
          <w:b/>
          <w:bCs/>
          <w:color w:val="1F3864"/>
          <w:sz w:val="22"/>
          <w:szCs w:val="22"/>
        </w:rPr>
        <w:t xml:space="preserve">Author Context and Expertise</w:t>
      </w:r>
    </w:p>
    <w:p>
      <w:pPr>
        <w:spacing w:after="160" w:before="0" w:line="276"/>
        <w:jc w:val="both"/>
      </w:pPr>
      <w:r>
        <w:rPr>
          <w:rFonts w:ascii="Arial" w:cs="Arial" w:eastAsia="Arial" w:hAnsi="Arial"/>
          <w:b w:val="false"/>
          <w:bCs w:val="false"/>
          <w:i w:val="false"/>
          <w:iCs w:val="false"/>
          <w:color w:val="000000"/>
          <w:sz w:val="22"/>
          <w:szCs w:val="22"/>
        </w:rPr>
        <w:t xml:space="preserve">This work is grounded in 30 years of multi-sector experience in Systems Engineering. The analytical framework reflects professional history, focusing on practical application. The author does not hold a PhD in photonics, mineralogy, or a directly related discipline. This paper is positioned accordingly: as a hypothesis from an outsider perspective, offered for evaluation by domain experts.</w:t>
      </w:r>
    </w:p>
    <w:p>
      <w:pPr>
        <w:spacing w:after="120" w:line="276"/>
      </w:pPr>
      <w:r>
        <w:rPr>
          <w:rFonts w:ascii="Arial" w:cs="Arial" w:eastAsia="Arial" w:hAnsi="Arial"/>
          <w:b/>
          <w:bCs/>
          <w:color w:val="1F3864"/>
          <w:sz w:val="22"/>
          <w:szCs w:val="22"/>
        </w:rPr>
        <w:t xml:space="preserve">Digital Methodology and Accessibility</w:t>
      </w:r>
    </w:p>
    <w:p>
      <w:pPr>
        <w:spacing w:after="160" w:before="0" w:line="276"/>
        <w:jc w:val="both"/>
      </w:pPr>
      <w:r>
        <w:rPr>
          <w:rFonts w:ascii="Arial" w:cs="Arial" w:eastAsia="Arial" w:hAnsi="Arial"/>
          <w:b w:val="false"/>
          <w:bCs w:val="false"/>
          <w:i w:val="false"/>
          <w:iCs w:val="false"/>
          <w:color w:val="000000"/>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use these models as assistive technology to refine grammar and streamline sentence structure.</w:t>
      </w:r>
    </w:p>
    <w:p>
      <w:pPr>
        <w:spacing w:after="120" w:line="276"/>
      </w:pPr>
      <w:r>
        <w:rPr>
          <w:rFonts w:ascii="Arial" w:cs="Arial" w:eastAsia="Arial" w:hAnsi="Arial"/>
          <w:b/>
          <w:bCs/>
          <w:color w:val="1F3864"/>
          <w:sz w:val="22"/>
          <w:szCs w:val="22"/>
        </w:rPr>
        <w:t xml:space="preserve">Verification and Integrity</w:t>
      </w:r>
    </w:p>
    <w:p>
      <w:pPr>
        <w:spacing w:after="160" w:before="0" w:line="276"/>
        <w:jc w:val="both"/>
      </w:pPr>
      <w:r>
        <w:rPr>
          <w:rFonts w:ascii="Arial" w:cs="Arial" w:eastAsia="Arial" w:hAnsi="Arial"/>
          <w:b w:val="false"/>
          <w:bCs w:val="false"/>
          <w:i w:val="false"/>
          <w:iCs w:val="false"/>
          <w:color w:val="000000"/>
          <w:sz w:val="22"/>
          <w:szCs w:val="22"/>
        </w:rPr>
        <w:t xml:space="preserve">While AI assisted in processing data, the intellectual oversight is entirely human. I performed manual validation of all citations and accept full responsibility for the accuracy and originality of the final output.</w:t>
      </w:r>
    </w:p>
    <w:p>
      <w:r>
        <w:br w:type="page"/>
      </w:r>
    </w:p>
    <w:p>
      <w:pPr>
        <w:pStyle w:val="Heading1"/>
        <w:spacing w:after="120" w:before="360"/>
      </w:pPr>
      <w:r>
        <w:rPr>
          <w:rFonts w:ascii="Arial" w:cs="Arial" w:eastAsia="Arial" w:hAnsi="Arial"/>
          <w:b/>
          <w:bCs/>
          <w:color w:val="1F3864"/>
          <w:sz w:val="28"/>
          <w:szCs w:val="28"/>
        </w:rPr>
        <w:t xml:space="preserve">Appendix D: Raw Author Notes</w:t>
      </w:r>
    </w:p>
    <w:p>
      <w:pPr>
        <w:spacing w:after="160" w:before="0" w:line="276"/>
        <w:jc w:val="both"/>
      </w:pPr>
      <w:r>
        <w:rPr>
          <w:rFonts w:ascii="Arial" w:cs="Arial" w:eastAsia="Arial" w:hAnsi="Arial"/>
          <w:b w:val="false"/>
          <w:bCs w:val="false"/>
          <w:i w:val="false"/>
          <w:iCs w:val="false"/>
          <w:color w:val="000000"/>
          <w:sz w:val="22"/>
          <w:szCs w:val="22"/>
        </w:rPr>
        <w:t xml:space="preserve">The following internal project documents informed the development of this paper. They are not publicly available and cannot be independently verified.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Reference</w:t>
            </w:r>
          </w:p>
        </w:tc>
        <w:tc>
          <w:tcPr>
            <w:tcW w:type="dxa" w:w="65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Document</w:t>
            </w:r>
          </w:p>
        </w:tc>
        <w:tc>
          <w:tcPr>
            <w:tcW w:type="dxa" w:w="18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Date</w:t>
            </w:r>
          </w:p>
        </w:tc>
      </w:tr>
      <w:tr>
        <w:tc>
          <w:tcPr>
            <w:tcW w:type="dxa" w:w="1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PL1</w:t>
            </w:r>
          </w:p>
        </w:tc>
        <w:tc>
          <w:tcPr>
            <w:tcW w:type="dxa" w:w="65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Project Labradorite: Commercial Applications of Synthetic Labradorescence (Deep Research Report)</w:t>
            </w:r>
          </w:p>
        </w:tc>
        <w:tc>
          <w:tcPr>
            <w:tcW w:type="dxa" w:w="1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February 2026</w:t>
            </w:r>
          </w:p>
        </w:tc>
      </w:tr>
      <w:tr>
        <w:tc>
          <w:tcPr>
            <w:tcW w:type="dxa" w:w="1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PL3</w:t>
            </w:r>
          </w:p>
        </w:tc>
        <w:tc>
          <w:tcPr>
            <w:tcW w:type="dxa" w:w="65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Strategic Evaluation and Commercial Roadmap for Project Labradorite (Technical Analysis)</w:t>
            </w:r>
          </w:p>
        </w:tc>
        <w:tc>
          <w:tcPr>
            <w:tcW w:type="dxa" w:w="1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2026</w:t>
            </w:r>
          </w:p>
        </w:tc>
      </w:tr>
      <w:tr>
        <w:tc>
          <w:tcPr>
            <w:tcW w:type="dxa" w:w="1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Res1</w:t>
            </w:r>
          </w:p>
        </w:tc>
        <w:tc>
          <w:tcPr>
            <w:tcW w:type="dxa" w:w="65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Critical Evaluation and Strategic Enhancement of Project Labradorite (External Review)</w:t>
            </w:r>
          </w:p>
        </w:tc>
        <w:tc>
          <w:tcPr>
            <w:tcW w:type="dxa" w:w="18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2026</w:t>
            </w:r>
          </w:p>
        </w:tc>
      </w:tr>
    </w:tbl>
    <w:p>
      <w:pPr>
        <w:spacing w:after="80"/>
      </w:pPr>
    </w:p>
    <w:p>
      <w:pPr>
        <w:spacing w:after="160" w:before="0" w:line="276"/>
        <w:jc w:val="both"/>
      </w:pPr>
      <w:r>
        <w:rPr>
          <w:rFonts w:ascii="Arial" w:cs="Arial" w:eastAsia="Arial" w:hAnsi="Arial"/>
          <w:b w:val="false"/>
          <w:bCs w:val="false"/>
          <w:i w:val="false"/>
          <w:iCs w:val="false"/>
          <w:color w:val="000000"/>
          <w:sz w:val="22"/>
          <w:szCs w:val="22"/>
        </w:rPr>
        <w:t xml:space="preserve">The core observation—that the Boggild miscibility gap couples refractive index contrast and lamellar periodicity in a manner that might constrain photonic grating parameter searches—emerged from a cross-domain reading of feldspar crystallography literature against PIC design methodology. The author’s background in systems engineering provided the lens of constrained optimisation; the specific geological system was identified through research into the physical origins of labradorescence.</w:t>
      </w:r>
    </w:p>
    <w:p>
      <w:r>
        <w:br w:type="page"/>
      </w:r>
    </w:p>
    <w:p>
      <w:pPr>
        <w:pStyle w:val="Heading1"/>
        <w:spacing w:after="120" w:before="360"/>
      </w:pPr>
      <w:r>
        <w:rPr>
          <w:rFonts w:ascii="Arial" w:cs="Arial" w:eastAsia="Arial" w:hAnsi="Arial"/>
          <w:b/>
          <w:bCs/>
          <w:color w:val="1F3864"/>
          <w:sz w:val="28"/>
          <w:szCs w:val="28"/>
        </w:rPr>
        <w:t xml:space="preserve">Appendix E: Change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Version</w:t>
            </w:r>
          </w:p>
        </w:tc>
        <w:tc>
          <w:tcPr>
            <w:tcW w:type="dxa" w:w="20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Date</w:t>
            </w:r>
          </w:p>
        </w:tc>
        <w:tc>
          <w:tcPr>
            <w:tcW w:type="dxa" w:w="6300"/>
            <w:tcBorders>
              <w:top w:val="single" w:color="999999" w:sz="1"/>
              <w:left w:val="single" w:color="999999" w:sz="1"/>
              <w:bottom w:val="single" w:color="999999" w:sz="1"/>
              <w:right w:val="single" w:color="999999" w:sz="1"/>
            </w:tcBorders>
            <w:shd w:fill="1F3864" w:val="clear"/>
          </w:tcPr>
          <w:p>
            <w:pPr>
              <w:spacing w:after="40" w:before="40"/>
              <w:jc w:val="left"/>
            </w:pPr>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1.0</w:t>
            </w:r>
          </w:p>
        </w:tc>
        <w:tc>
          <w:tcPr>
            <w:tcW w:type="dxa" w:w="20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25 February 2026</w:t>
            </w:r>
          </w:p>
        </w:tc>
        <w:tc>
          <w:tcPr>
            <w:tcW w:type="dxa" w:w="6300"/>
            <w:tcBorders>
              <w:top w:val="single" w:color="999999" w:sz="1"/>
              <w:left w:val="single" w:color="999999" w:sz="1"/>
              <w:bottom w:val="single" w:color="999999" w:sz="1"/>
              <w:right w:val="single" w:color="999999" w:sz="1"/>
            </w:tcBorders>
          </w:tcPr>
          <w:p>
            <w:pPr>
              <w:spacing w:after="30" w:before="30"/>
            </w:pPr>
            <w:r>
              <w:rPr>
                <w:rFonts w:ascii="Arial" w:cs="Arial" w:eastAsia="Arial" w:hAnsi="Arial"/>
                <w:sz w:val="20"/>
                <w:szCs w:val="20"/>
              </w:rPr>
              <w:t xml:space="preserve">Initial publication-ready document formatted from development drafts. All iterative review findings integrated into the body text as if the paper were always written this way. Development artefacts, version markers, and review-round references removed from the main text per formatting protocol.</w:t>
            </w:r>
          </w:p>
        </w:tc>
      </w:tr>
    </w:tbl>
    <w:p>
      <w:pPr>
        <w:spacing w:after="80"/>
      </w:pPr>
    </w:p>
    <w:p>
      <w:pPr>
        <w:spacing w:after="160" w:before="0" w:line="276"/>
        <w:jc w:val="both"/>
      </w:pPr>
      <w:r>
        <w:rPr>
          <w:rFonts w:ascii="Arial" w:cs="Arial" w:eastAsia="Arial" w:hAnsi="Arial"/>
          <w:b w:val="false"/>
          <w:bCs w:val="false"/>
          <w:i w:val="false"/>
          <w:iCs w:val="false"/>
          <w:color w:val="000000"/>
          <w:sz w:val="22"/>
          <w:szCs w:val="22"/>
        </w:rPr>
        <w:t xml:space="preserve">This document was produced through multiple iterative review cycles prior to this formatted version. Findings from those reviews have been fully integrated: the hypothesis is clearly distinguished from results; all implicit assumptions are surfaced explicitly; unfalsifiable claims have been paired with testable metrics; and the geological-to-engineering analogy is argued rather than assumed. The change log records only the final formatted output; earlier development history is retained in the project archive.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Geomimetic Photonics: The Boggild Framework  |  Aaron Garcia  |  aaron@garcia.ltd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2026-02-25T21:02:47.709Z</dcterms:created>
  <dcterms:modified xsi:type="dcterms:W3CDTF">2026-02-25T21:02:47.710Z</dcterms:modified>
</cp:coreProperties>
</file>

<file path=docProps/custom.xml><?xml version="1.0" encoding="utf-8"?>
<Properties xmlns="http://schemas.openxmlformats.org/officeDocument/2006/custom-properties" xmlns:vt="http://schemas.openxmlformats.org/officeDocument/2006/docPropsVTypes"/>
</file>