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i w:val="false"/>
          <w:iCs w:val="false"/>
          <w:color w:val="000000"/>
          <w:sz w:val="48"/>
          <w:szCs w:val="48"/>
        </w:rPr>
        <w:t xml:space="preserve">Labradorescent Dark-Ground Effect Pigments via Block Copolymer Self-Assembly</w:t>
      </w:r>
    </w:p>
    <w:p>
      <w:pPr>
        <w:spacing w:after="400"/>
        <w:jc w:val="center"/>
      </w:pPr>
      <w:r>
        <w:rPr>
          <w:rFonts w:ascii="Arial" w:cs="Arial" w:eastAsia="Arial" w:hAnsi="Arial"/>
          <w:b w:val="false"/>
          <w:bCs w:val="false"/>
          <w:i/>
          <w:iCs/>
          <w:color w:val="000000"/>
          <w:sz w:val="28"/>
          <w:szCs w:val="28"/>
        </w:rPr>
        <w:t xml:space="preserve">A Collaboration Whitepaper Proposing Investigation of Narrow-Band Structural Colour Particles</w:t>
      </w:r>
    </w:p>
    <w:p>
      <w:pPr>
        <w:spacing w:after="80"/>
      </w:pPr>
    </w:p>
    <w:p>
      <w:pPr>
        <w:spacing w:after="80"/>
        <w:jc w:val="center"/>
      </w:pPr>
      <w:r>
        <w:rPr>
          <w:rFonts w:ascii="Arial" w:cs="Arial" w:eastAsia="Arial" w:hAnsi="Arial"/>
          <w:b/>
          <w:bCs/>
          <w:i w:val="false"/>
          <w:iCs w:val="false"/>
          <w:color w:val="000000"/>
          <w:sz w:val="26"/>
          <w:szCs w:val="26"/>
        </w:rPr>
        <w:t xml:space="preserve">Aaron Garcia</w:t>
      </w:r>
    </w:p>
    <w:p>
      <w:pPr>
        <w:spacing w:after="80"/>
        <w:jc w:val="center"/>
      </w:pPr>
      <w:r>
        <w:rPr>
          <w:rFonts w:ascii="Arial" w:cs="Arial" w:eastAsia="Arial" w:hAnsi="Arial"/>
          <w:b w:val="false"/>
          <w:bCs w:val="false"/>
          <w:i w:val="false"/>
          <w:iCs w:val="false"/>
          <w:color w:val="000000"/>
          <w:sz w:val="22"/>
          <w:szCs w:val="22"/>
        </w:rPr>
        <w:t xml:space="preserve">Independent Researcher</w:t>
      </w:r>
    </w:p>
    <w:p>
      <w:pPr>
        <w:spacing w:after="80"/>
        <w:jc w:val="center"/>
      </w:pPr>
      <w:r>
        <w:rPr>
          <w:rFonts w:ascii="Arial" w:cs="Arial" w:eastAsia="Arial" w:hAnsi="Arial"/>
          <w:b w:val="false"/>
          <w:bCs w:val="false"/>
          <w:i w:val="false"/>
          <w:iCs w:val="false"/>
          <w:color w:val="000000"/>
          <w:sz w:val="22"/>
          <w:szCs w:val="22"/>
        </w:rPr>
        <w:t xml:space="preserve">aaron@garcia.ltd</w:t>
      </w:r>
    </w:p>
    <w:p>
      <w:pPr>
        <w:spacing w:after="200"/>
        <w:jc w:val="center"/>
      </w:pPr>
      <w:r>
        <w:rPr>
          <w:rFonts w:ascii="Arial" w:cs="Arial" w:eastAsia="Arial" w:hAnsi="Arial"/>
          <w:b w:val="false"/>
          <w:bCs w:val="false"/>
          <w:i w:val="false"/>
          <w:iCs w:val="false"/>
          <w:color w:val="000000"/>
          <w:sz w:val="22"/>
          <w:szCs w:val="22"/>
        </w:rPr>
        <w:t xml:space="preserve">25 February 2026</w:t>
      </w:r>
    </w:p>
    <w:p>
      <w:pPr>
        <w:spacing w:after="80"/>
        <w:jc w:val="center"/>
      </w:pPr>
      <w:r>
        <w:rPr>
          <w:rFonts w:ascii="Arial" w:cs="Arial" w:eastAsia="Arial" w:hAnsi="Arial"/>
          <w:b w:val="false"/>
          <w:bCs w:val="false"/>
          <w:i w:val="false"/>
          <w:iCs w:val="false"/>
          <w:color w:val="666666"/>
          <w:sz w:val="18"/>
          <w:szCs w:val="18"/>
        </w:rPr>
        <w:t xml:space="preserve">Document Reference: AG-2026-0225-9661</w:t>
      </w:r>
    </w:p>
    <w:p>
      <w:pPr>
        <w:spacing w:after="80"/>
      </w:pPr>
    </w:p>
    <w:p>
      <w:pPr>
        <w:spacing w:after="80"/>
      </w:pPr>
    </w:p>
    <w:p>
      <w:pPr>
        <w:spacing w:after="120"/>
        <w:jc w:val="center"/>
      </w:pPr>
      <w:r>
        <w:rPr>
          <w:rFonts w:ascii="Arial" w:cs="Arial" w:eastAsia="Arial" w:hAnsi="Arial"/>
          <w:b w:val="false"/>
          <w:bCs w:val="false"/>
          <w:i/>
          <w:iCs/>
          <w:color w:val="444444"/>
          <w:sz w:val="22"/>
          <w:szCs w:val="22"/>
        </w:rPr>
        <w:t xml:space="preserve">Collaboration Whitepaper  |  Not a Funding Request</w:t>
      </w:r>
    </w:p>
    <w:p>
      <w:pPr>
        <w:spacing w:after="200"/>
        <w:jc w:val="center"/>
      </w:pPr>
      <w:r>
        <w:rPr>
          <w:rFonts w:ascii="Arial" w:cs="Arial" w:eastAsia="Arial" w:hAnsi="Arial"/>
          <w:b w:val="false"/>
          <w:bCs w:val="false"/>
          <w:i/>
          <w:iCs/>
          <w:color w:val="666666"/>
          <w:sz w:val="18"/>
          <w:szCs w:val="18"/>
        </w:rPr>
        <w:t xml:space="preserve">This document is formatted as a collaboration whitepaper intended for prospective research partners. It uses business-document conventions rather than IMRaD format. Readers evaluating this from an academic standpoint should judge the technical content accordingly.</w:t>
      </w:r>
    </w:p>
    <w:p>
      <w:pPr>
        <w:sectPr>
          <w:pgSz w:w="11906" w:h="16838" w:orient="portrait"/>
          <w:pgMar w:top="1440" w:right="1727" w:bottom="1440" w:left="1727" w:header="708" w:footer="708" w:gutter="0"/>
          <w:pgNumType/>
          <w:docGrid w:linePitch="360"/>
        </w:sectPr>
      </w:pPr>
    </w:p>
    <w:p>
      <w:pPr>
        <w:pStyle w:val="Heading1"/>
        <w:spacing w:after="200" w:before="360" w:line="276"/>
      </w:pPr>
      <w:r>
        <w:rPr>
          <w:rFonts w:ascii="Arial" w:cs="Arial" w:eastAsia="Arial" w:hAnsi="Arial"/>
          <w:b/>
          <w:bCs/>
          <w:i w:val="false"/>
          <w:iCs w:val="false"/>
          <w:color w:val="000000"/>
          <w:sz w:val="32"/>
          <w:szCs w:val="32"/>
        </w:rPr>
        <w:t xml:space="preserve">1. Introduction</w:t>
      </w:r>
    </w:p>
    <w:p>
      <w:pPr>
        <w:spacing w:after="120" w:line="276"/>
        <w:jc w:val="both"/>
      </w:pPr>
      <w:r>
        <w:rPr>
          <w:rFonts w:ascii="Arial" w:cs="Arial" w:eastAsia="Arial" w:hAnsi="Arial"/>
          <w:b w:val="false"/>
          <w:bCs w:val="false"/>
          <w:i w:val="false"/>
          <w:iCs w:val="false"/>
          <w:color w:val="000000"/>
          <w:sz w:val="22"/>
          <w:szCs w:val="22"/>
        </w:rPr>
        <w:t xml:space="preserve">The established commercial colour-shifting effect pigments—ChromaFlair (Viavi Solutions), Xirallic and Colorstream (Merck KGaA), Lumina Royal (BASF)—produce broad spectral travel across the colour wheel. Published spectral data for these products indicate full-width at half-maximum (FWHM) values typically in the range of 80–200+ nm, based on publicly available product literature and selected academic measurements. To the author’s knowledge, no currently marketed effect pigment achieves FWHM below approximately 40 nm, though this claim has not been verified across all global product lines and should be treated as provisional.</w:t>
      </w:r>
    </w:p>
    <w:p>
      <w:pPr>
        <w:spacing w:after="120" w:line="276"/>
        <w:jc w:val="both"/>
      </w:pPr>
      <w:r>
        <w:rPr>
          <w:rFonts w:ascii="Arial" w:cs="Arial" w:eastAsia="Arial" w:hAnsi="Arial"/>
          <w:b w:val="false"/>
          <w:bCs w:val="false"/>
          <w:i w:val="false"/>
          <w:iCs w:val="false"/>
          <w:color w:val="000000"/>
          <w:sz w:val="22"/>
          <w:szCs w:val="22"/>
        </w:rPr>
        <w:t xml:space="preserve">These pigments are designed to be ‘always on’: the substrate appears colourful from a wide range of viewing angles. No existing commercial product known to the author replicates the dark-ground flash characteristic of natural labradorescence—a narrow spectral flash visible only within a restricted angular window, emerging from an otherwise dark substrate.</w:t>
      </w:r>
    </w:p>
    <w:p>
      <w:pPr>
        <w:spacing w:after="120" w:line="276"/>
        <w:jc w:val="both"/>
      </w:pPr>
      <w:r>
        <w:rPr>
          <w:rFonts w:ascii="Arial" w:cs="Arial" w:eastAsia="Arial" w:hAnsi="Arial"/>
          <w:b w:val="false"/>
          <w:bCs w:val="false"/>
          <w:i w:val="false"/>
          <w:iCs w:val="false"/>
          <w:color w:val="000000"/>
          <w:sz w:val="22"/>
          <w:szCs w:val="22"/>
        </w:rPr>
        <w:t xml:space="preserve">This whitepaper proposes investigating a new visual category: narrow-band, dark-ground structural colour particles intended to produce a labradorescence-like flash. The core conceptual insight is an inversion of the prevailing block copolymer (BCP) research direction. The BCP photonic community has generally pursued high refractive-index contrast (high Δn) for brighter, broader colour. Labradorescence-like behaviour requires the opposite—low Δn. The low-Δn regime that researchers have found unproductive for saturated colour applications may be precisely what this application demands.</w:t>
      </w:r>
    </w:p>
    <w:p>
      <w:pPr>
        <w:spacing w:after="120" w:line="276"/>
        <w:jc w:val="both"/>
      </w:pPr>
      <w:r>
        <w:rPr>
          <w:rFonts w:ascii="Arial" w:cs="Arial" w:eastAsia="Arial" w:hAnsi="Arial"/>
          <w:b w:val="false"/>
          <w:bCs w:val="false"/>
          <w:i w:val="false"/>
          <w:iCs w:val="false"/>
          <w:color w:val="000000"/>
          <w:sz w:val="22"/>
          <w:szCs w:val="22"/>
        </w:rPr>
        <w:t xml:space="preserve">It is more accurate to say that the low-Δn regime has been largely unexplored because it does not serve the goals of maximising colour saturation, rather than because anyone identified and consciously rejected it.</w:t>
      </w:r>
    </w:p>
    <w:p>
      <w:pPr>
        <w:spacing w:after="120" w:line="276"/>
        <w:jc w:val="both"/>
      </w:pPr>
      <w:r>
        <w:rPr>
          <w:rFonts w:ascii="Arial" w:cs="Arial" w:eastAsia="Arial" w:hAnsi="Arial"/>
          <w:b w:val="false"/>
          <w:bCs w:val="false"/>
          <w:i w:val="false"/>
          <w:iCs w:val="false"/>
          <w:color w:val="000000"/>
          <w:sz w:val="22"/>
          <w:szCs w:val="22"/>
        </w:rPr>
        <w:t xml:space="preserve">A critical prerequisite bears stating plainly: the feasibility of this concept depends entirely on whether emulsion-confined BCP self-assembly can produce particles with sufficient bilayer count and optical coherence at low Δn to generate a measurable spectral reflection peak in the visible range. This has not been demonstrated. It is the make-or-break fabrication gate. All content downstream of this gate is conditional.</w:t>
      </w:r>
    </w:p>
    <w:p>
      <w:pPr>
        <w:pStyle w:val="Heading1"/>
        <w:spacing w:after="200" w:before="360" w:line="276"/>
      </w:pPr>
      <w:r>
        <w:rPr>
          <w:rFonts w:ascii="Arial" w:cs="Arial" w:eastAsia="Arial" w:hAnsi="Arial"/>
          <w:b/>
          <w:bCs/>
          <w:i w:val="false"/>
          <w:iCs w:val="false"/>
          <w:color w:val="000000"/>
          <w:sz w:val="32"/>
          <w:szCs w:val="32"/>
        </w:rPr>
        <w:t xml:space="preserve">2. Background</w:t>
      </w:r>
    </w:p>
    <w:p>
      <w:pPr>
        <w:pStyle w:val="Heading2"/>
        <w:spacing w:after="160" w:before="280" w:line="276"/>
      </w:pPr>
      <w:r>
        <w:rPr>
          <w:rFonts w:ascii="Arial" w:cs="Arial" w:eastAsia="Arial" w:hAnsi="Arial"/>
          <w:b/>
          <w:bCs/>
          <w:i w:val="false"/>
          <w:iCs w:val="false"/>
          <w:color w:val="000000"/>
          <w:sz w:val="26"/>
          <w:szCs w:val="26"/>
        </w:rPr>
        <w:t xml:space="preserve">2.1 Market Context</w:t>
      </w:r>
    </w:p>
    <w:p>
      <w:pPr>
        <w:spacing w:after="120" w:line="276"/>
        <w:jc w:val="both"/>
      </w:pPr>
      <w:r>
        <w:rPr>
          <w:rFonts w:ascii="Arial" w:cs="Arial" w:eastAsia="Arial" w:hAnsi="Arial"/>
          <w:b w:val="false"/>
          <w:bCs w:val="false"/>
          <w:i w:val="false"/>
          <w:iCs w:val="false"/>
          <w:color w:val="000000"/>
          <w:sz w:val="22"/>
          <w:szCs w:val="22"/>
        </w:rPr>
        <w:t xml:space="preserve">The special effect pigments market is valued at approximately $600M–$800M USD (Grand View Research, 2023), growing at roughly 6.5% annually. Automotive colour trends appear to be shifting toward subtlety and depth: BASF’s 2025–26 colour trend report features restrained transitions and understated effects. The colour paint protection film (PPF) market shows movement toward natural-looking colour shifts. A labradorescent pigment could address a segment of this emerging preference, though no consumer preference data or market research specific to labradorescent aesthetics has been conducted. The commercial desirability of this aesthetic category is assumed, not demonstrated.</w:t>
      </w:r>
    </w:p>
    <w:p>
      <w:pPr>
        <w:pStyle w:val="Heading2"/>
        <w:spacing w:after="160" w:before="280" w:line="276"/>
      </w:pPr>
      <w:r>
        <w:rPr>
          <w:rFonts w:ascii="Arial" w:cs="Arial" w:eastAsia="Arial" w:hAnsi="Arial"/>
          <w:b/>
          <w:bCs/>
          <w:i w:val="false"/>
          <w:iCs w:val="false"/>
          <w:color w:val="000000"/>
          <w:sz w:val="26"/>
          <w:szCs w:val="26"/>
        </w:rPr>
        <w:t xml:space="preserve">2.2 Current Research Direction</w:t>
      </w:r>
    </w:p>
    <w:p>
      <w:pPr>
        <w:spacing w:after="120" w:line="276"/>
        <w:jc w:val="both"/>
      </w:pPr>
      <w:r>
        <w:rPr>
          <w:rFonts w:ascii="Arial" w:cs="Arial" w:eastAsia="Arial" w:hAnsi="Arial"/>
          <w:b w:val="false"/>
          <w:bCs w:val="false"/>
          <w:i w:val="false"/>
          <w:iCs w:val="false"/>
          <w:color w:val="000000"/>
          <w:sz w:val="22"/>
          <w:szCs w:val="22"/>
        </w:rPr>
        <w:t xml:space="preserve">Academic demonstrations of BCP photonic pigment particles (Song et al., ACS Nano, 2019; Dodero et al., ACS Appl. Polym. Mater., 2025) have focused on maximising colour saturation and broadening the palette—not on characterising or exploiting low-Δn behaviour as a design feature. The conceptual reframing proposed here identifies a parameter space that appears to be largely unexplored rather than proven unviable.</w:t>
      </w:r>
    </w:p>
    <w:p>
      <w:pPr>
        <w:pStyle w:val="Heading2"/>
        <w:spacing w:after="160" w:before="280" w:line="276"/>
      </w:pPr>
      <w:r>
        <w:rPr>
          <w:rFonts w:ascii="Arial" w:cs="Arial" w:eastAsia="Arial" w:hAnsi="Arial"/>
          <w:b/>
          <w:bCs/>
          <w:i w:val="false"/>
          <w:iCs w:val="false"/>
          <w:color w:val="000000"/>
          <w:sz w:val="26"/>
          <w:szCs w:val="26"/>
        </w:rPr>
        <w:t xml:space="preserve">2.3 Cautionary Precedent</w:t>
      </w:r>
    </w:p>
    <w:p>
      <w:pPr>
        <w:spacing w:after="120" w:line="276"/>
        <w:jc w:val="both"/>
      </w:pPr>
      <w:r>
        <w:rPr>
          <w:rFonts w:ascii="Arial" w:cs="Arial" w:eastAsia="Arial" w:hAnsi="Arial"/>
          <w:b w:val="false"/>
          <w:bCs w:val="false"/>
          <w:i w:val="false"/>
          <w:iCs w:val="false"/>
          <w:color w:val="000000"/>
          <w:sz w:val="22"/>
          <w:szCs w:val="22"/>
        </w:rPr>
        <w:t xml:space="preserve">Historical precedent warrants caution. Morphotex (Teijin, 61 polyester/nylon layers), the only prior commercial structural colour fibre, was discontinued in 2011 due to cost and limited colour palette. Any structural colour pigment faces analogous commercial risk. The economics of structural colour remain challenging, and this proposal does not yet include a cost analysis.</w:t>
      </w:r>
    </w:p>
    <w:p>
      <w:pPr>
        <w:pStyle w:val="Heading1"/>
        <w:spacing w:after="200" w:before="360" w:line="276"/>
      </w:pPr>
      <w:r>
        <w:rPr>
          <w:rFonts w:ascii="Arial" w:cs="Arial" w:eastAsia="Arial" w:hAnsi="Arial"/>
          <w:b/>
          <w:bCs/>
          <w:i w:val="false"/>
          <w:iCs w:val="false"/>
          <w:color w:val="000000"/>
          <w:sz w:val="32"/>
          <w:szCs w:val="32"/>
        </w:rPr>
        <w:t xml:space="preserve">3. The Conceptual Framework</w:t>
      </w:r>
    </w:p>
    <w:p>
      <w:pPr>
        <w:pStyle w:val="Heading2"/>
        <w:spacing w:after="160" w:before="280" w:line="276"/>
      </w:pPr>
      <w:r>
        <w:rPr>
          <w:rFonts w:ascii="Arial" w:cs="Arial" w:eastAsia="Arial" w:hAnsi="Arial"/>
          <w:b/>
          <w:bCs/>
          <w:i w:val="false"/>
          <w:iCs w:val="false"/>
          <w:color w:val="000000"/>
          <w:sz w:val="26"/>
          <w:szCs w:val="26"/>
        </w:rPr>
        <w:t xml:space="preserve">3.1 Prior-Art Assessment</w:t>
      </w:r>
    </w:p>
    <w:p>
      <w:pPr>
        <w:spacing w:after="120" w:line="276"/>
        <w:jc w:val="both"/>
      </w:pPr>
      <w:r>
        <w:rPr>
          <w:rFonts w:ascii="Arial" w:cs="Arial" w:eastAsia="Arial" w:hAnsi="Arial"/>
          <w:b w:val="false"/>
          <w:bCs w:val="false"/>
          <w:i w:val="false"/>
          <w:iCs w:val="false"/>
          <w:color w:val="000000"/>
          <w:sz w:val="22"/>
          <w:szCs w:val="22"/>
        </w:rPr>
        <w:t xml:space="preserve">A prior-art search was conducted across USPTO, EPO, WIPO, Google Scholar, and Web of Science during January–February 2026. No patent or product was identified covering low-Δn, high-bilayer-count photonic crystal pigment particles producing narrow-band dark-ground structural colour.</w:t>
      </w:r>
    </w:p>
    <w:p>
      <w:pPr>
        <w:spacing w:after="120" w:line="276"/>
        <w:jc w:val="both"/>
      </w:pPr>
      <w:r>
        <w:rPr>
          <w:rFonts w:ascii="Arial" w:cs="Arial" w:eastAsia="Arial" w:hAnsi="Arial"/>
          <w:b w:val="false"/>
          <w:bCs w:val="false"/>
          <w:i w:val="false"/>
          <w:iCs w:val="false"/>
          <w:color w:val="000000"/>
          <w:sz w:val="22"/>
          <w:szCs w:val="22"/>
        </w:rPr>
        <w:t xml:space="preserve">This search did not include CNIPA (China), J-PlatPat (Japan), or KIPRIS (Korea). Given significant East Asian patent activity in polymer and materials science, this is a material gap. Prior art may exist in those databases. The novelty claim is therefore provisional and limited to the databases searched. A comprehensive search including East Asian patent offices is required before any novelty claim can be confirmed.</w:t>
      </w:r>
    </w:p>
    <w:p>
      <w:pPr>
        <w:spacing w:after="120" w:line="276"/>
        <w:jc w:val="both"/>
      </w:pPr>
      <w:r>
        <w:rPr>
          <w:rFonts w:ascii="Arial" w:cs="Arial" w:eastAsia="Arial" w:hAnsi="Arial"/>
          <w:b w:val="false"/>
          <w:bCs w:val="false"/>
          <w:i w:val="false"/>
          <w:iCs w:val="false"/>
          <w:color w:val="000000"/>
          <w:sz w:val="22"/>
          <w:szCs w:val="22"/>
        </w:rPr>
        <w:t xml:space="preserve">The proposed insight is a conceptual reframing: treating low Δn as a functional design parameter rather than a limitation. Whether this constitutes a genuinely novel intellectual contribution, or a restatement of known Bragg reflector physics applied to an unstudied geometry, can only be determined through deeper engagement with the existing literature and the polymer photonics community.</w:t>
      </w:r>
    </w:p>
    <w:p>
      <w:pPr>
        <w:pStyle w:val="Heading2"/>
        <w:spacing w:after="160" w:before="280" w:line="276"/>
      </w:pPr>
      <w:r>
        <w:rPr>
          <w:rFonts w:ascii="Arial" w:cs="Arial" w:eastAsia="Arial" w:hAnsi="Arial"/>
          <w:b/>
          <w:bCs/>
          <w:i w:val="false"/>
          <w:iCs w:val="false"/>
          <w:color w:val="000000"/>
          <w:sz w:val="26"/>
          <w:szCs w:val="26"/>
        </w:rPr>
        <w:t xml:space="preserve">3.2 Spectral Width Target and Its Limitations</w:t>
      </w:r>
    </w:p>
    <w:p>
      <w:pPr>
        <w:spacing w:after="120" w:line="276"/>
        <w:jc w:val="both"/>
      </w:pPr>
      <w:r>
        <w:rPr>
          <w:rFonts w:ascii="Arial" w:cs="Arial" w:eastAsia="Arial" w:hAnsi="Arial"/>
          <w:b w:val="false"/>
          <w:bCs w:val="false"/>
          <w:i w:val="false"/>
          <w:iCs w:val="false"/>
          <w:color w:val="000000"/>
          <w:sz w:val="22"/>
          <w:szCs w:val="22"/>
        </w:rPr>
        <w:t xml:space="preserve">The target of approximately 40 nm FWHM or narrower requires grounding in physical principles. For a one-dimensional Bragg reflector, the spectral width of the primary reflection band is governed by the refractive-index contrast between alternating layers. For Δn values in the range 0.05–0.1 (for instance, layers with refractive indices of 1.55 and 1.50), the primary reflection band width falls to approximately 20–40 nm for a peak wavelength around 550 nm. [HYPOTHESIS]</w:t>
      </w:r>
    </w:p>
    <w:p>
      <w:pPr>
        <w:spacing w:after="120" w:line="276"/>
        <w:jc w:val="both"/>
      </w:pPr>
      <w:r>
        <w:rPr>
          <w:rFonts w:ascii="Arial" w:cs="Arial" w:eastAsia="Arial" w:hAnsi="Arial"/>
          <w:b w:val="false"/>
          <w:bCs w:val="false"/>
          <w:i w:val="false"/>
          <w:iCs w:val="false"/>
          <w:color w:val="000000"/>
          <w:sz w:val="22"/>
          <w:szCs w:val="22"/>
        </w:rPr>
        <w:t xml:space="preserve">This estimate applies to an idealised flat-film multilayer with a large number of layers and perfect interfaces. The achievable FWHM in practice depends on the actual layer count (finite stacks broaden the peak), interface roughness and defect density (which reduce coherence), layer thickness uniformity (non-uniform periods broaden the peak), and spherical geometry (angular averaging across a curved particle surface broadens the effective FWHM significantly). The sub-40 nm target is therefore an idealised upper bound derived from flat-film theory. The actual FWHM achievable in emulsion-confined spherical BCP particles is unknown and may be substantially wider.</w:t>
      </w:r>
    </w:p>
    <w:p>
      <w:pPr>
        <w:pStyle w:val="Heading2"/>
        <w:spacing w:after="160" w:before="280" w:line="276"/>
      </w:pPr>
      <w:r>
        <w:rPr>
          <w:rFonts w:ascii="Arial" w:cs="Arial" w:eastAsia="Arial" w:hAnsi="Arial"/>
          <w:b/>
          <w:bCs/>
          <w:i w:val="false"/>
          <w:iCs w:val="false"/>
          <w:color w:val="000000"/>
          <w:sz w:val="26"/>
          <w:szCs w:val="26"/>
        </w:rPr>
        <w:t xml:space="preserve">3.3 FWHM Broadening in Spherical Geometry</w:t>
      </w:r>
    </w:p>
    <w:p>
      <w:pPr>
        <w:spacing w:after="120" w:line="276"/>
        <w:jc w:val="both"/>
      </w:pPr>
      <w:r>
        <w:rPr>
          <w:rFonts w:ascii="Arial" w:cs="Arial" w:eastAsia="Arial" w:hAnsi="Arial"/>
          <w:b w:val="false"/>
          <w:bCs w:val="false"/>
          <w:i w:val="false"/>
          <w:iCs w:val="false"/>
          <w:color w:val="000000"/>
          <w:sz w:val="22"/>
          <w:szCs w:val="22"/>
        </w:rPr>
        <w:t xml:space="preserve">In a dispersed spherical particle, the angle of incidence varies across the particle surface. For a microsphere illuminated by collimated light, the local angle of incidence ranges from zero degrees (at the pole facing the light source) to grazing angles at the equator. This angular spread causes each point on the sphere to reflect at a different wavelength, producing angular averaging that broadens the effective FWHM observed by a detector collecting over a finite solid angle.</w:t>
      </w:r>
    </w:p>
    <w:p>
      <w:pPr>
        <w:spacing w:after="120" w:line="276"/>
        <w:jc w:val="both"/>
      </w:pPr>
      <w:r>
        <w:rPr>
          <w:rFonts w:ascii="Arial" w:cs="Arial" w:eastAsia="Arial" w:hAnsi="Arial"/>
          <w:b w:val="false"/>
          <w:bCs w:val="false"/>
          <w:i w:val="false"/>
          <w:iCs w:val="false"/>
          <w:color w:val="000000"/>
          <w:sz w:val="22"/>
          <w:szCs w:val="22"/>
        </w:rPr>
        <w:t xml:space="preserve">The magnitude of this broadening has not been calculated for the specific geometry proposed here. It is plausible that FWHM could broaden to 60–100 nm, which would overlap with the spectral width of existing commercial effect pigments and significantly erode the claimed differentiation. Quantifying this broadening via optical simulation (using FDTD or transfer-matrix methods adapted for curved geometry) is a prerequisite for establishing whether the narrow-band target is physically meaningful in particle form.</w:t>
      </w:r>
    </w:p>
    <w:p>
      <w:pPr>
        <w:pStyle w:val="Heading2"/>
        <w:spacing w:after="160" w:before="280" w:line="276"/>
      </w:pPr>
      <w:r>
        <w:rPr>
          <w:rFonts w:ascii="Arial" w:cs="Arial" w:eastAsia="Arial" w:hAnsi="Arial"/>
          <w:b/>
          <w:bCs/>
          <w:i w:val="false"/>
          <w:iCs w:val="false"/>
          <w:color w:val="000000"/>
          <w:sz w:val="26"/>
          <w:szCs w:val="26"/>
        </w:rPr>
        <w:t xml:space="preserve">3.4 Bilayer Count Requirement</w:t>
      </w:r>
    </w:p>
    <w:p>
      <w:pPr>
        <w:spacing w:after="120" w:line="276"/>
        <w:jc w:val="both"/>
      </w:pPr>
      <w:r>
        <w:rPr>
          <w:rFonts w:ascii="Arial" w:cs="Arial" w:eastAsia="Arial" w:hAnsi="Arial"/>
          <w:b w:val="false"/>
          <w:bCs w:val="false"/>
          <w:i w:val="false"/>
          <w:iCs w:val="false"/>
          <w:color w:val="000000"/>
          <w:sz w:val="22"/>
          <w:szCs w:val="22"/>
        </w:rPr>
        <w:t xml:space="preserve">The bilayer requirement must be grounded in a minimum reflectance target. For a quarter-wave Bragg stack, peak reflectance increases with the number of bilayers, but the rate of increase depends strongly on the refractive-index contrast. At Δn = 0.05, roughly 20 bilayers yield approximately 5% reflectance, 50 bilayers yield approximately 28%, and 100 bilayers yield approximately 72%.</w:t>
      </w:r>
    </w:p>
    <w:p>
      <w:pPr>
        <w:spacing w:after="120" w:line="276"/>
        <w:jc w:val="both"/>
      </w:pPr>
      <w:r>
        <w:rPr>
          <w:rFonts w:ascii="Arial" w:cs="Arial" w:eastAsia="Arial" w:hAnsi="Arial"/>
          <w:b w:val="false"/>
          <w:bCs w:val="false"/>
          <w:i w:val="false"/>
          <w:iCs w:val="false"/>
          <w:color w:val="000000"/>
          <w:sz w:val="22"/>
          <w:szCs w:val="22"/>
        </w:rPr>
        <w:t xml:space="preserve">What constitutes a ‘visible flash’ depends on viewing conditions, background reflectance, and the integration time of the human eye. As a rough benchmark, peak reflectance of at least 15–30% may be needed for the effect to be perceptible against a dark background under typical viewing conditions, though this threshold has not been established through psychophysical testing. At Δn = 0.05, this suggests a minimum of approximately 40–50 bilayers; at Δn = 0.10, fewer bilayers would suffice.</w:t>
      </w:r>
    </w:p>
    <w:p>
      <w:pPr>
        <w:spacing w:after="120" w:line="276"/>
        <w:jc w:val="both"/>
      </w:pPr>
      <w:r>
        <w:rPr>
          <w:rFonts w:ascii="Arial" w:cs="Arial" w:eastAsia="Arial" w:hAnsi="Arial"/>
          <w:b w:val="false"/>
          <w:bCs w:val="false"/>
          <w:i w:val="false"/>
          <w:iCs w:val="false"/>
          <w:color w:val="000000"/>
          <w:sz w:val="22"/>
          <w:szCs w:val="22"/>
        </w:rPr>
        <w:t xml:space="preserve">This analysis assumes perfect layer uniformity and zero absorption. Real emulsion-confined BCP particles will have defects that reduce effective reflectance below these ideal values. The 50–100+ bilayer range is a rough order-of-magnitude estimate, not a validated specification. [HYPOTHESIS]</w:t>
      </w:r>
    </w:p>
    <w:p>
      <w:pPr>
        <w:pStyle w:val="Heading2"/>
        <w:spacing w:after="160" w:before="280" w:line="276"/>
      </w:pPr>
      <w:r>
        <w:rPr>
          <w:rFonts w:ascii="Arial" w:cs="Arial" w:eastAsia="Arial" w:hAnsi="Arial"/>
          <w:b/>
          <w:bCs/>
          <w:i w:val="false"/>
          <w:iCs w:val="false"/>
          <w:color w:val="000000"/>
          <w:sz w:val="26"/>
          <w:szCs w:val="26"/>
        </w:rPr>
        <w:t xml:space="preserve">3.5 The Absorptive Matrix Problem</w:t>
      </w:r>
    </w:p>
    <w:p>
      <w:pPr>
        <w:spacing w:after="120" w:line="276"/>
        <w:jc w:val="both"/>
      </w:pPr>
      <w:r>
        <w:rPr>
          <w:rFonts w:ascii="Arial" w:cs="Arial" w:eastAsia="Arial" w:hAnsi="Arial"/>
          <w:b w:val="false"/>
          <w:bCs w:val="false"/>
          <w:i w:val="false"/>
          <w:iCs w:val="false"/>
          <w:color w:val="000000"/>
          <w:sz w:val="22"/>
          <w:szCs w:val="22"/>
        </w:rPr>
        <w:t xml:space="preserve">A critical implicit assumption deserves direct treatment: low Δn alone does not produce a dark-ground appearance. In natural labradorite, the dark ground arises from two factors working together. First, the low-Δn lamellar structure produces narrow-band reflection only near the Bragg condition. Second, the iron-bearing feldspar matrix absorbs off-angle transmitted light, creating a dark background. Without the absorptive matrix, a transparent multilayer simply transmits off-angle light rather than appearing dark.</w:t>
      </w:r>
    </w:p>
    <w:p>
      <w:pPr>
        <w:spacing w:after="120" w:line="276"/>
        <w:jc w:val="both"/>
      </w:pPr>
      <w:r>
        <w:rPr>
          <w:rFonts w:ascii="Arial" w:cs="Arial" w:eastAsia="Arial" w:hAnsi="Arial"/>
          <w:b w:val="false"/>
          <w:bCs w:val="false"/>
          <w:i w:val="false"/>
          <w:iCs w:val="false"/>
          <w:color w:val="000000"/>
          <w:sz w:val="22"/>
          <w:szCs w:val="22"/>
        </w:rPr>
        <w:t xml:space="preserve">A BCP particle in a clear automotive basecoat or cosmetic binder will not inherently produce a dark ground. Off-angle light will be transmitted or scattered, potentially producing a milky, pearlescent, or translucent appearance rather than the intended near-black background.</w:t>
      </w:r>
    </w:p>
    <w:p>
      <w:pPr>
        <w:spacing w:after="120" w:line="276"/>
        <w:jc w:val="both"/>
      </w:pPr>
      <w:r>
        <w:rPr>
          <w:rFonts w:ascii="Arial" w:cs="Arial" w:eastAsia="Arial" w:hAnsi="Arial"/>
          <w:b w:val="false"/>
          <w:bCs w:val="false"/>
          <w:i w:val="false"/>
          <w:iCs w:val="false"/>
          <w:color w:val="000000"/>
          <w:sz w:val="22"/>
          <w:szCs w:val="22"/>
        </w:rPr>
        <w:t xml:space="preserve">Achieving a true dark-ground effect will likely require one of several approaches: incorporating absorptive components into the particle or binder (carbon black, iron oxide, or absorptive dye in the matrix), engineering the particle morphology to minimise off-angle scattering while maintaining on-angle Bragg reflection, or formulating the coating system as a whole (particle plus binder plus basecoat colour) to produce the dark-ground effect at the system level. This is not a particle-level property alone—it is an emergent property of the full coating system. The dark-ground effect is a formulation challenge as much as a fabrication challenge, and it represents a significant additional development requirement.</w:t>
      </w:r>
    </w:p>
    <w:p>
      <w:pPr>
        <w:pStyle w:val="Heading2"/>
        <w:spacing w:after="160" w:before="280" w:line="276"/>
      </w:pPr>
      <w:r>
        <w:rPr>
          <w:rFonts w:ascii="Arial" w:cs="Arial" w:eastAsia="Arial" w:hAnsi="Arial"/>
          <w:b/>
          <w:bCs/>
          <w:i w:val="false"/>
          <w:iCs w:val="false"/>
          <w:color w:val="000000"/>
          <w:sz w:val="26"/>
          <w:szCs w:val="26"/>
        </w:rPr>
        <w:t xml:space="preserve">3.6 Target Applications</w:t>
      </w:r>
    </w:p>
    <w:p>
      <w:pPr>
        <w:spacing w:after="120" w:line="276"/>
        <w:jc w:val="both"/>
      </w:pPr>
      <w:r>
        <w:rPr>
          <w:rFonts w:ascii="Arial" w:cs="Arial" w:eastAsia="Arial" w:hAnsi="Arial"/>
          <w:b w:val="false"/>
          <w:bCs w:val="false"/>
          <w:i w:val="false"/>
          <w:iCs w:val="false"/>
          <w:color w:val="000000"/>
          <w:sz w:val="22"/>
          <w:szCs w:val="22"/>
        </w:rPr>
        <w:t xml:space="preserve">All applications described below are conditional on the fabrication gate being passed, the FWHM in spherical geometry being narrow enough to differentiate from existing products, and the dark-ground effect being achievable in the relevant coating or formulation system. If any of these conditions is not met, the corresponding application is not viable.</w:t>
      </w:r>
    </w:p>
    <w:p>
      <w:pPr>
        <w:pStyle w:val="Heading3"/>
        <w:spacing w:after="120" w:before="240" w:line="276"/>
      </w:pPr>
      <w:r>
        <w:rPr>
          <w:rFonts w:ascii="Arial" w:cs="Arial" w:eastAsia="Arial" w:hAnsi="Arial"/>
          <w:b/>
          <w:bCs/>
          <w:i w:val="false"/>
          <w:iCs w:val="false"/>
          <w:color w:val="000000"/>
          <w:sz w:val="24"/>
          <w:szCs w:val="24"/>
        </w:rPr>
        <w:t xml:space="preserve">3.6.1 Automotive OEM and Refinish Coatings</w:t>
      </w:r>
    </w:p>
    <w:p>
      <w:pPr>
        <w:spacing w:after="120" w:line="276"/>
        <w:jc w:val="both"/>
      </w:pPr>
      <w:r>
        <w:rPr>
          <w:rFonts w:ascii="Arial" w:cs="Arial" w:eastAsia="Arial" w:hAnsi="Arial"/>
          <w:b w:val="false"/>
          <w:bCs w:val="false"/>
          <w:i w:val="false"/>
          <w:iCs w:val="false"/>
          <w:color w:val="000000"/>
          <w:sz w:val="22"/>
          <w:szCs w:val="22"/>
        </w:rPr>
        <w:t xml:space="preserve">A potential ‘Labradorite Finish’ aesthetic for automotive surfaces. Automotive OEM coating qualification (Ford FLTM, GM 9984, Toyota specifications) requires 2–5 years minimum, including QUV accelerated weathering (2000+ hours), salt-spray resistance (1000+ hours), cross-hatch adhesion, and stone-chip testing. This is a medium-to-long-term application, not a near-term market entry. The dark-ground effect in automotive basecoats specifically requires addressing the absorptive matrix problem described in Section 3.5.</w:t>
      </w:r>
    </w:p>
    <w:p>
      <w:pPr>
        <w:pStyle w:val="Heading3"/>
        <w:spacing w:after="120" w:before="240" w:line="276"/>
      </w:pPr>
      <w:r>
        <w:rPr>
          <w:rFonts w:ascii="Arial" w:cs="Arial" w:eastAsia="Arial" w:hAnsi="Arial"/>
          <w:b/>
          <w:bCs/>
          <w:i w:val="false"/>
          <w:iCs w:val="false"/>
          <w:color w:val="000000"/>
          <w:sz w:val="24"/>
          <w:szCs w:val="24"/>
        </w:rPr>
        <w:t xml:space="preserve">3.6.2 Architectural Glass and Facade Design</w:t>
      </w:r>
    </w:p>
    <w:p>
      <w:pPr>
        <w:spacing w:after="120" w:line="276"/>
        <w:jc w:val="both"/>
      </w:pPr>
      <w:r>
        <w:rPr>
          <w:rFonts w:ascii="Arial" w:cs="Arial" w:eastAsia="Arial" w:hAnsi="Arial"/>
          <w:b w:val="false"/>
          <w:bCs w:val="false"/>
          <w:i w:val="false"/>
          <w:iCs w:val="false"/>
          <w:color w:val="000000"/>
          <w:sz w:val="22"/>
          <w:szCs w:val="22"/>
        </w:rPr>
        <w:t xml:space="preserve">Angle-dependent decorative effects for building surfaces represent a potential application area. The dark-ground requirement may be more readily met with tinted glass substrates, which provide a natural absorptive background.</w:t>
      </w:r>
    </w:p>
    <w:p>
      <w:pPr>
        <w:pStyle w:val="Heading3"/>
        <w:spacing w:after="120" w:before="240" w:line="276"/>
      </w:pPr>
      <w:r>
        <w:rPr>
          <w:rFonts w:ascii="Arial" w:cs="Arial" w:eastAsia="Arial" w:hAnsi="Arial"/>
          <w:b/>
          <w:bCs/>
          <w:i w:val="false"/>
          <w:iCs w:val="false"/>
          <w:color w:val="000000"/>
          <w:sz w:val="24"/>
          <w:szCs w:val="24"/>
        </w:rPr>
        <w:t xml:space="preserve">3.6.3 Premium Cosmetics and Personal Care</w:t>
      </w:r>
    </w:p>
    <w:p>
      <w:pPr>
        <w:spacing w:after="120" w:line="276"/>
        <w:jc w:val="both"/>
      </w:pPr>
      <w:r>
        <w:rPr>
          <w:rFonts w:ascii="Arial" w:cs="Arial" w:eastAsia="Arial" w:hAnsi="Arial"/>
          <w:b w:val="false"/>
          <w:bCs w:val="false"/>
          <w:i w:val="false"/>
          <w:iCs w:val="false"/>
          <w:color w:val="000000"/>
          <w:sz w:val="22"/>
          <w:szCs w:val="22"/>
        </w:rPr>
        <w:t xml:space="preserve">Narrow-band structural colour for luxury product differentiation. Regulatory requirements differ from automotive applications and may present additional constraints on polymer particle composition.</w:t>
      </w:r>
    </w:p>
    <w:p>
      <w:pPr>
        <w:pStyle w:val="Heading3"/>
        <w:spacing w:after="120" w:before="240" w:line="276"/>
      </w:pPr>
      <w:r>
        <w:rPr>
          <w:rFonts w:ascii="Arial" w:cs="Arial" w:eastAsia="Arial" w:hAnsi="Arial"/>
          <w:b/>
          <w:bCs/>
          <w:i w:val="false"/>
          <w:iCs w:val="false"/>
          <w:color w:val="000000"/>
          <w:sz w:val="24"/>
          <w:szCs w:val="24"/>
        </w:rPr>
        <w:t xml:space="preserve">3.6.4 Anti-Counterfeiting</w:t>
      </w:r>
    </w:p>
    <w:p>
      <w:pPr>
        <w:spacing w:after="120" w:line="276"/>
        <w:jc w:val="both"/>
      </w:pPr>
      <w:r>
        <w:rPr>
          <w:rFonts w:ascii="Arial" w:cs="Arial" w:eastAsia="Arial" w:hAnsi="Arial"/>
          <w:b w:val="false"/>
          <w:bCs w:val="false"/>
          <w:i w:val="false"/>
          <w:iCs w:val="false"/>
          <w:color w:val="000000"/>
          <w:sz w:val="22"/>
          <w:szCs w:val="22"/>
        </w:rPr>
        <w:t xml:space="preserve">The distinctive angular-dependent visual effect could serve as an authentication feature. This application may be less sensitive to the dark-ground requirement, as the authentication function depends on angular selectivity rather than aesthetic darkness.</w:t>
      </w:r>
    </w:p>
    <w:p>
      <w:pPr>
        <w:pStyle w:val="Heading1"/>
        <w:spacing w:after="200" w:before="360" w:line="276"/>
      </w:pPr>
      <w:r>
        <w:rPr>
          <w:rFonts w:ascii="Arial" w:cs="Arial" w:eastAsia="Arial" w:hAnsi="Arial"/>
          <w:b/>
          <w:bCs/>
          <w:i w:val="false"/>
          <w:iCs w:val="false"/>
          <w:color w:val="000000"/>
          <w:sz w:val="32"/>
          <w:szCs w:val="32"/>
        </w:rPr>
        <w:t xml:space="preserve">4. Discussion and Limitations</w:t>
      </w:r>
    </w:p>
    <w:p>
      <w:pPr>
        <w:pStyle w:val="Heading2"/>
        <w:spacing w:after="160" w:before="280" w:line="276"/>
      </w:pPr>
      <w:r>
        <w:rPr>
          <w:rFonts w:ascii="Arial" w:cs="Arial" w:eastAsia="Arial" w:hAnsi="Arial"/>
          <w:b/>
          <w:bCs/>
          <w:i w:val="false"/>
          <w:iCs w:val="false"/>
          <w:color w:val="000000"/>
          <w:sz w:val="26"/>
          <w:szCs w:val="26"/>
        </w:rPr>
        <w:t xml:space="preserve">4.1 Open Questions Requiring Collaboration</w:t>
      </w:r>
    </w:p>
    <w:p>
      <w:pPr>
        <w:spacing w:after="120" w:line="276"/>
        <w:jc w:val="both"/>
      </w:pPr>
      <w:r>
        <w:rPr>
          <w:rFonts w:ascii="Arial" w:cs="Arial" w:eastAsia="Arial" w:hAnsi="Arial"/>
          <w:b w:val="false"/>
          <w:bCs w:val="false"/>
          <w:i w:val="false"/>
          <w:iCs w:val="false"/>
          <w:color w:val="000000"/>
          <w:sz w:val="22"/>
          <w:szCs w:val="22"/>
        </w:rPr>
        <w:t xml:space="preserve">The first question below is a prerequisite gate. If it returns a negative result, subsequent questions become substantially less relevant, though not entirely irrelevant given the possibility of partial outcomes.</w:t>
      </w:r>
    </w:p>
    <w:p>
      <w:pPr>
        <w:spacing w:after="120" w:line="276"/>
        <w:jc w:val="both"/>
      </w:pPr>
      <w:r>
        <w:rPr>
          <w:rFonts w:ascii="Arial" w:cs="Arial" w:eastAsia="Arial" w:hAnsi="Arial"/>
          <w:b/>
          <w:bCs/>
          <w:i w:val="false"/>
          <w:iCs w:val="false"/>
          <w:color w:val="000000"/>
          <w:sz w:val="22"/>
          <w:szCs w:val="22"/>
        </w:rPr>
        <w:t xml:space="preserve">Fabrication Gate. </w:t>
      </w:r>
      <w:r>
        <w:rPr>
          <w:rFonts w:ascii="Arial" w:cs="Arial" w:eastAsia="Arial" w:hAnsi="Arial"/>
          <w:b w:val="false"/>
          <w:bCs w:val="false"/>
          <w:i w:val="false"/>
          <w:iCs w:val="false"/>
          <w:color w:val="000000"/>
          <w:sz w:val="22"/>
          <w:szCs w:val="22"/>
        </w:rPr>
        <w:t xml:space="preserve">Can emulsion-confined BCP self-assembly reliably produce microspheres with bilayer counts in the range of 40–100+ and Δn of 0.05–0.1, with sufficient layer uniformity and interface coherence to generate a measurable spectral reflection peak in the visible range? Published BCP photonic particle work (Song et al., 2019; Dodero et al., 2025) has not reported this combination of layer count and optical coherence in emulsion geometry. The most likely failure mode is that emulsion confinement produces disordered, defect-rich lamellar structures with insufficient optical coherence for constructive interference, exacerbated by curvature-induced frustration of long-range lamellar order. This question cannot be answered by the author alone. It requires either experimental fabrication attempts by a group with BCP synthesis and emulsion-confinement capability, or coarse-grained molecular dynamics and self-consistent field theory simulations under spherical confinement.</w:t>
      </w:r>
    </w:p>
    <w:p>
      <w:pPr>
        <w:spacing w:after="120" w:line="276"/>
        <w:jc w:val="both"/>
      </w:pPr>
      <w:r>
        <w:rPr>
          <w:rFonts w:ascii="Arial" w:cs="Arial" w:eastAsia="Arial" w:hAnsi="Arial"/>
          <w:b/>
          <w:bCs/>
          <w:i w:val="false"/>
          <w:iCs w:val="false"/>
          <w:color w:val="000000"/>
          <w:sz w:val="22"/>
          <w:szCs w:val="22"/>
        </w:rPr>
        <w:t xml:space="preserve">Spherical FWHM. </w:t>
      </w:r>
      <w:r>
        <w:rPr>
          <w:rFonts w:ascii="Arial" w:cs="Arial" w:eastAsia="Arial" w:hAnsi="Arial"/>
          <w:b w:val="false"/>
          <w:bCs w:val="false"/>
          <w:i w:val="false"/>
          <w:iCs w:val="false"/>
          <w:color w:val="000000"/>
          <w:sz w:val="22"/>
          <w:szCs w:val="22"/>
        </w:rPr>
        <w:t xml:space="preserve">What is the achievable FWHM in spherical dispersed geometry after angular averaging? Flat-film targets cannot be assumed to transfer to curved particle surfaces. This question can be addressed by optical simulation (transfer-matrix or FDTD methods) prior to fabrication. A simulation study is a lower-cost first step that could determine whether the concept is worth pursuing experimentally.</w:t>
      </w:r>
    </w:p>
    <w:p>
      <w:pPr>
        <w:spacing w:after="120" w:line="276"/>
        <w:jc w:val="both"/>
      </w:pPr>
      <w:r>
        <w:rPr>
          <w:rFonts w:ascii="Arial" w:cs="Arial" w:eastAsia="Arial" w:hAnsi="Arial"/>
          <w:b/>
          <w:bCs/>
          <w:i w:val="false"/>
          <w:iCs w:val="false"/>
          <w:color w:val="000000"/>
          <w:sz w:val="22"/>
          <w:szCs w:val="22"/>
        </w:rPr>
        <w:t xml:space="preserve">Colour Gamut. </w:t>
      </w:r>
      <w:r>
        <w:rPr>
          <w:rFonts w:ascii="Arial" w:cs="Arial" w:eastAsia="Arial" w:hAnsi="Arial"/>
          <w:b w:val="false"/>
          <w:bCs w:val="false"/>
          <w:i w:val="false"/>
          <w:iCs w:val="false"/>
          <w:color w:val="000000"/>
          <w:sz w:val="22"/>
          <w:szCs w:val="22"/>
        </w:rPr>
        <w:t xml:space="preserve">Can blue, green, and red labradorescent flashes all be produced by tuning BCP molecular weight and lamellar period? What is the accessible wavelength range?</w:t>
      </w:r>
    </w:p>
    <w:p>
      <w:pPr>
        <w:spacing w:after="120" w:line="276"/>
        <w:jc w:val="both"/>
      </w:pPr>
      <w:r>
        <w:rPr>
          <w:rFonts w:ascii="Arial" w:cs="Arial" w:eastAsia="Arial" w:hAnsi="Arial"/>
          <w:b/>
          <w:bCs/>
          <w:i w:val="false"/>
          <w:iCs w:val="false"/>
          <w:color w:val="000000"/>
          <w:sz w:val="22"/>
          <w:szCs w:val="22"/>
        </w:rPr>
        <w:t xml:space="preserve">System-Level Dark Ground. </w:t>
      </w:r>
      <w:r>
        <w:rPr>
          <w:rFonts w:ascii="Arial" w:cs="Arial" w:eastAsia="Arial" w:hAnsi="Arial"/>
          <w:b w:val="false"/>
          <w:bCs w:val="false"/>
          <w:i w:val="false"/>
          <w:iCs w:val="false"/>
          <w:color w:val="000000"/>
          <w:sz w:val="22"/>
          <w:szCs w:val="22"/>
        </w:rPr>
        <w:t xml:space="preserve">How can the dark-ground effect be achieved in practical coating or formulation systems? What absorptive matrix components, particle morphologies, or coating architectures are needed? This is a formulation science question as much as a materials science question.</w:t>
      </w:r>
    </w:p>
    <w:p>
      <w:pPr>
        <w:spacing w:after="120" w:line="276"/>
        <w:jc w:val="both"/>
      </w:pPr>
      <w:r>
        <w:rPr>
          <w:rFonts w:ascii="Arial" w:cs="Arial" w:eastAsia="Arial" w:hAnsi="Arial"/>
          <w:b/>
          <w:bCs/>
          <w:i w:val="false"/>
          <w:iCs w:val="false"/>
          <w:color w:val="000000"/>
          <w:sz w:val="22"/>
          <w:szCs w:val="22"/>
        </w:rPr>
        <w:t xml:space="preserve">Coating System Performance. </w:t>
      </w:r>
      <w:r>
        <w:rPr>
          <w:rFonts w:ascii="Arial" w:cs="Arial" w:eastAsia="Arial" w:hAnsi="Arial"/>
          <w:b w:val="false"/>
          <w:bCs w:val="false"/>
          <w:i w:val="false"/>
          <w:iCs w:val="false"/>
          <w:color w:val="000000"/>
          <w:sz w:val="22"/>
          <w:szCs w:val="22"/>
        </w:rPr>
        <w:t xml:space="preserve">How do the particles perform in automotive basecoat systems? Rheology, UV stability, dispersion stability, and adhesion all need validation. This is relevant only if earlier questions yield positive results.</w:t>
      </w:r>
    </w:p>
    <w:p>
      <w:pPr>
        <w:spacing w:after="120" w:line="276"/>
        <w:jc w:val="both"/>
      </w:pPr>
      <w:r>
        <w:rPr>
          <w:rFonts w:ascii="Arial" w:cs="Arial" w:eastAsia="Arial" w:hAnsi="Arial"/>
          <w:b/>
          <w:bCs/>
          <w:i w:val="false"/>
          <w:iCs w:val="false"/>
          <w:color w:val="000000"/>
          <w:sz w:val="22"/>
          <w:szCs w:val="22"/>
        </w:rPr>
        <w:t xml:space="preserve">Bio-Derived Alternatives and REACH Compliance. </w:t>
      </w:r>
      <w:r>
        <w:rPr>
          <w:rFonts w:ascii="Arial" w:cs="Arial" w:eastAsia="Arial" w:hAnsi="Arial"/>
          <w:b w:val="false"/>
          <w:bCs w:val="false"/>
          <w:i w:val="false"/>
          <w:iCs w:val="false"/>
          <w:color w:val="000000"/>
          <w:sz w:val="22"/>
          <w:szCs w:val="22"/>
        </w:rPr>
        <w:t xml:space="preserve">Can bio-derived BCPs (for example, HPC-PEG cellulose systems, chitosan-PCL copolymers) produce measurable spectral reflection peaks comparable to those achieved with conventional BCPs? This question is motivated by EU REACH Regulation 2023/2055 on synthetic polymer microparticles. Whether the regulation applies to BCP pigment particles depends on factors including particle size distribution, polymer composition, and specific exemptions that have not been analysed in this whitepaper. A proper regulatory assessment should determine whether the proposed particles fall within the regulation’s scope, whether any exemptions apply, and what the compliance timeline and costs would be.</w:t>
      </w:r>
    </w:p>
    <w:p>
      <w:pPr>
        <w:pStyle w:val="Heading2"/>
        <w:spacing w:after="160" w:before="280" w:line="276"/>
      </w:pPr>
      <w:r>
        <w:rPr>
          <w:rFonts w:ascii="Arial" w:cs="Arial" w:eastAsia="Arial" w:hAnsi="Arial"/>
          <w:b/>
          <w:bCs/>
          <w:i w:val="false"/>
          <w:iCs w:val="false"/>
          <w:color w:val="000000"/>
          <w:sz w:val="26"/>
          <w:szCs w:val="26"/>
        </w:rPr>
        <w:t xml:space="preserve">4.2 Fabrication Risk</w:t>
      </w:r>
    </w:p>
    <w:p>
      <w:pPr>
        <w:spacing w:after="120" w:line="276"/>
        <w:jc w:val="both"/>
      </w:pPr>
      <w:r>
        <w:rPr>
          <w:rFonts w:ascii="Arial" w:cs="Arial" w:eastAsia="Arial" w:hAnsi="Arial"/>
          <w:b w:val="false"/>
          <w:bCs w:val="false"/>
          <w:i w:val="false"/>
          <w:iCs w:val="false"/>
          <w:color w:val="000000"/>
          <w:sz w:val="22"/>
          <w:szCs w:val="22"/>
        </w:rPr>
        <w:t xml:space="preserve">Achieving 40–100+ optically coherent bilayers in emulsion-confined geometry is fundamentally harder than flat-substrate coating. The spherical, thermodynamically constrained environment introduces curvature-induced frustration, convective disruption during solvent evaporation, and limited control over nucleation and growth kinetics.</w:t>
      </w:r>
    </w:p>
    <w:p>
      <w:pPr>
        <w:spacing w:after="120" w:line="276"/>
        <w:jc w:val="both"/>
      </w:pPr>
      <w:r>
        <w:rPr>
          <w:rFonts w:ascii="Arial" w:cs="Arial" w:eastAsia="Arial" w:hAnsi="Arial"/>
          <w:b w:val="false"/>
          <w:bCs w:val="false"/>
          <w:i w:val="false"/>
          <w:iCs w:val="false"/>
          <w:color w:val="000000"/>
          <w:sz w:val="22"/>
          <w:szCs w:val="22"/>
        </w:rPr>
        <w:t xml:space="preserve">The concept has a steep performance threshold, but partial outcomes retain value. A system achieving, for instance, 30 bilayers with Δn = 0.08 might produce a weak but measurable spectral peak. This would constitute partial success and would provide data about the feasibility of scaling to higher layer counts. A weak spectral peak without a visible flash would not, however, constitute a commercially viable product. The distinction is between scientific progress (incremental, valuable) and commercial viability (which requires meeting minimum perceptual thresholds).</w:t>
      </w:r>
    </w:p>
    <w:p>
      <w:pPr>
        <w:pStyle w:val="Heading2"/>
        <w:spacing w:after="160" w:before="280" w:line="276"/>
      </w:pPr>
      <w:r>
        <w:rPr>
          <w:rFonts w:ascii="Arial" w:cs="Arial" w:eastAsia="Arial" w:hAnsi="Arial"/>
          <w:b/>
          <w:bCs/>
          <w:i w:val="false"/>
          <w:iCs w:val="false"/>
          <w:color w:val="000000"/>
          <w:sz w:val="26"/>
          <w:szCs w:val="26"/>
        </w:rPr>
        <w:t xml:space="preserve">4.3 FWHM Broadening Risk</w:t>
      </w:r>
    </w:p>
    <w:p>
      <w:pPr>
        <w:spacing w:after="120" w:line="276"/>
        <w:jc w:val="both"/>
      </w:pPr>
      <w:r>
        <w:rPr>
          <w:rFonts w:ascii="Arial" w:cs="Arial" w:eastAsia="Arial" w:hAnsi="Arial"/>
          <w:b w:val="false"/>
          <w:bCs w:val="false"/>
          <w:i w:val="false"/>
          <w:iCs w:val="false"/>
          <w:color w:val="000000"/>
          <w:sz w:val="22"/>
          <w:szCs w:val="22"/>
        </w:rPr>
        <w:t xml:space="preserve">Angular averaging across a sphere may broaden the effective FWHM to a range that overlaps with existing commercial pigments. If the achievable FWHM in particle form exceeds approximately 60–80 nm, the optical differentiation from existing products diminishes significantly. Optical simulation should precede experimental fabrication to assess this risk.</w:t>
      </w:r>
    </w:p>
    <w:p>
      <w:pPr>
        <w:pStyle w:val="Heading2"/>
        <w:spacing w:after="160" w:before="280" w:line="276"/>
      </w:pPr>
      <w:r>
        <w:rPr>
          <w:rFonts w:ascii="Arial" w:cs="Arial" w:eastAsia="Arial" w:hAnsi="Arial"/>
          <w:b/>
          <w:bCs/>
          <w:i w:val="false"/>
          <w:iCs w:val="false"/>
          <w:color w:val="000000"/>
          <w:sz w:val="26"/>
          <w:szCs w:val="26"/>
        </w:rPr>
        <w:t xml:space="preserve">4.4 Dark-Ground Effect Is Not Guaranteed</w:t>
      </w:r>
    </w:p>
    <w:p>
      <w:pPr>
        <w:spacing w:after="120" w:line="276"/>
        <w:jc w:val="both"/>
      </w:pPr>
      <w:r>
        <w:rPr>
          <w:rFonts w:ascii="Arial" w:cs="Arial" w:eastAsia="Arial" w:hAnsi="Arial"/>
          <w:b w:val="false"/>
          <w:bCs w:val="false"/>
          <w:i w:val="false"/>
          <w:iCs w:val="false"/>
          <w:color w:val="000000"/>
          <w:sz w:val="22"/>
          <w:szCs w:val="22"/>
        </w:rPr>
        <w:t xml:space="preserve">As described in Section 3.5, the dark-ground appearance requires an absorptive matrix component, not just a low-Δn reflector. This is an additional development challenge largely independent of the fabrication gate.</w:t>
      </w:r>
    </w:p>
    <w:p>
      <w:pPr>
        <w:pStyle w:val="Heading2"/>
        <w:spacing w:after="160" w:before="280" w:line="276"/>
      </w:pPr>
      <w:r>
        <w:rPr>
          <w:rFonts w:ascii="Arial" w:cs="Arial" w:eastAsia="Arial" w:hAnsi="Arial"/>
          <w:b/>
          <w:bCs/>
          <w:i w:val="false"/>
          <w:iCs w:val="false"/>
          <w:color w:val="000000"/>
          <w:sz w:val="26"/>
          <w:szCs w:val="26"/>
        </w:rPr>
        <w:t xml:space="preserve">4.5 Regulatory Compliance</w:t>
      </w:r>
    </w:p>
    <w:p>
      <w:pPr>
        <w:spacing w:after="120" w:line="276"/>
        <w:jc w:val="both"/>
      </w:pPr>
      <w:r>
        <w:rPr>
          <w:rFonts w:ascii="Arial" w:cs="Arial" w:eastAsia="Arial" w:hAnsi="Arial"/>
          <w:b w:val="false"/>
          <w:bCs w:val="false"/>
          <w:i w:val="false"/>
          <w:iCs w:val="false"/>
          <w:color w:val="000000"/>
          <w:sz w:val="22"/>
          <w:szCs w:val="22"/>
        </w:rPr>
        <w:t xml:space="preserve">EU REACH Regulation 2023/2055 restricts intentionally added synthetic polymer microparticles. If the proposed BCP particles fall within scope (which has not been determined), and if bio-derived alternatives do not achieve adequate optical performance, then the European automotive OEM market—a primary target—may be inaccessible. A regulatory assessment is needed but has not been performed.</w:t>
      </w:r>
    </w:p>
    <w:p>
      <w:pPr>
        <w:pStyle w:val="Heading2"/>
        <w:spacing w:after="160" w:before="280" w:line="276"/>
      </w:pPr>
      <w:r>
        <w:rPr>
          <w:rFonts w:ascii="Arial" w:cs="Arial" w:eastAsia="Arial" w:hAnsi="Arial"/>
          <w:b/>
          <w:bCs/>
          <w:i w:val="false"/>
          <w:iCs w:val="false"/>
          <w:color w:val="000000"/>
          <w:sz w:val="26"/>
          <w:szCs w:val="26"/>
        </w:rPr>
        <w:t xml:space="preserve">4.6 Cost Precedent</w:t>
      </w:r>
    </w:p>
    <w:p>
      <w:pPr>
        <w:spacing w:after="120" w:line="276"/>
        <w:jc w:val="both"/>
      </w:pPr>
      <w:r>
        <w:rPr>
          <w:rFonts w:ascii="Arial" w:cs="Arial" w:eastAsia="Arial" w:hAnsi="Arial"/>
          <w:b w:val="false"/>
          <w:bCs w:val="false"/>
          <w:i w:val="false"/>
          <w:iCs w:val="false"/>
          <w:color w:val="000000"/>
          <w:sz w:val="22"/>
          <w:szCs w:val="22"/>
        </w:rPr>
        <w:t xml:space="preserve">Morphotex failed commercially due to cost and limited palette. A structural colour pigment faces analogous economics: premium production cost competing against commodity chemical pigments at scale. This proposal does not yet include a cost model. Demonstrating a credible cost pathway is essential for any commercial application but is premature at the current conceptual stage.</w:t>
      </w:r>
    </w:p>
    <w:p>
      <w:pPr>
        <w:pStyle w:val="Heading2"/>
        <w:spacing w:after="160" w:before="280" w:line="276"/>
      </w:pPr>
      <w:r>
        <w:rPr>
          <w:rFonts w:ascii="Arial" w:cs="Arial" w:eastAsia="Arial" w:hAnsi="Arial"/>
          <w:b/>
          <w:bCs/>
          <w:i w:val="false"/>
          <w:iCs w:val="false"/>
          <w:color w:val="000000"/>
          <w:sz w:val="26"/>
          <w:szCs w:val="26"/>
        </w:rPr>
        <w:t xml:space="preserve">4.7 Automotive Qualification Timeline</w:t>
      </w:r>
    </w:p>
    <w:p>
      <w:pPr>
        <w:spacing w:after="120" w:line="276"/>
        <w:jc w:val="both"/>
      </w:pPr>
      <w:r>
        <w:rPr>
          <w:rFonts w:ascii="Arial" w:cs="Arial" w:eastAsia="Arial" w:hAnsi="Arial"/>
          <w:b w:val="false"/>
          <w:bCs w:val="false"/>
          <w:i w:val="false"/>
          <w:iCs w:val="false"/>
          <w:color w:val="000000"/>
          <w:sz w:val="22"/>
          <w:szCs w:val="22"/>
        </w:rPr>
        <w:t xml:space="preserve">Automotive OEM qualification is a 2–5 year process requiring extensive environmental testing (QUV, salt spray, adhesion, stone chip). Even if fabrication succeeds, commercial deployment in automotive applications is a medium-to-long-term prospect.</w:t>
      </w:r>
    </w:p>
    <w:p>
      <w:pPr>
        <w:pStyle w:val="Heading2"/>
        <w:spacing w:after="160" w:before="280" w:line="276"/>
      </w:pPr>
      <w:r>
        <w:rPr>
          <w:rFonts w:ascii="Arial" w:cs="Arial" w:eastAsia="Arial" w:hAnsi="Arial"/>
          <w:b/>
          <w:bCs/>
          <w:i w:val="false"/>
          <w:iCs w:val="false"/>
          <w:color w:val="000000"/>
          <w:sz w:val="26"/>
          <w:szCs w:val="26"/>
        </w:rPr>
        <w:t xml:space="preserve">4.8 Incomplete Prior-Art Coverage</w:t>
      </w:r>
    </w:p>
    <w:p>
      <w:pPr>
        <w:spacing w:after="120" w:line="276"/>
        <w:jc w:val="both"/>
      </w:pPr>
      <w:r>
        <w:rPr>
          <w:rFonts w:ascii="Arial" w:cs="Arial" w:eastAsia="Arial" w:hAnsi="Arial"/>
          <w:b w:val="false"/>
          <w:bCs w:val="false"/>
          <w:i w:val="false"/>
          <w:iCs w:val="false"/>
          <w:color w:val="000000"/>
          <w:sz w:val="22"/>
          <w:szCs w:val="22"/>
        </w:rPr>
        <w:t xml:space="preserve">The prior-art search omitted major East Asian patent databases (CNIPA, J-PlatPat, KIPRIS). Prior art may exist that was not identified. Any novelty claim must be considered provisional until a comprehensive international search is completed.</w:t>
      </w:r>
    </w:p>
    <w:p>
      <w:pPr>
        <w:pStyle w:val="Heading2"/>
        <w:spacing w:after="160" w:before="280" w:line="276"/>
      </w:pPr>
      <w:r>
        <w:rPr>
          <w:rFonts w:ascii="Arial" w:cs="Arial" w:eastAsia="Arial" w:hAnsi="Arial"/>
          <w:b/>
          <w:bCs/>
          <w:i w:val="false"/>
          <w:iCs w:val="false"/>
          <w:color w:val="000000"/>
          <w:sz w:val="26"/>
          <w:szCs w:val="26"/>
        </w:rPr>
        <w:t xml:space="preserve">4.9 Fragility Assessment</w:t>
      </w:r>
    </w:p>
    <w:p>
      <w:pPr>
        <w:spacing w:after="120" w:line="276"/>
        <w:jc w:val="both"/>
      </w:pPr>
      <w:r>
        <w:rPr>
          <w:rFonts w:ascii="Arial" w:cs="Arial" w:eastAsia="Arial" w:hAnsi="Arial"/>
          <w:b w:val="false"/>
          <w:bCs w:val="false"/>
          <w:i w:val="false"/>
          <w:iCs w:val="false"/>
          <w:color w:val="000000"/>
          <w:sz w:val="22"/>
          <w:szCs w:val="22"/>
        </w:rPr>
        <w:t xml:space="preserve">This concept has a high-fragility architecture. It depends on an undemonstrated fabrication step, has no experimental data or simulation results, and has a steep performance threshold for commercial viability. The physics of low-Δn Bragg reflection is sound, and the conceptual reframing may be valuable, but the distance between concept and demonstration is large. The author estimates the probability of the fabrication gate being passed on a first attempt as low, though this is a subjective assessment.</w:t>
      </w:r>
    </w:p>
    <w:p>
      <w:pPr>
        <w:pStyle w:val="Heading1"/>
        <w:spacing w:after="200" w:before="360" w:line="276"/>
      </w:pPr>
      <w:r>
        <w:rPr>
          <w:rFonts w:ascii="Arial" w:cs="Arial" w:eastAsia="Arial" w:hAnsi="Arial"/>
          <w:b/>
          <w:bCs/>
          <w:i w:val="false"/>
          <w:iCs w:val="false"/>
          <w:color w:val="000000"/>
          <w:sz w:val="32"/>
          <w:szCs w:val="32"/>
        </w:rPr>
        <w:t xml:space="preserve">5. Conclusion</w:t>
      </w:r>
    </w:p>
    <w:p>
      <w:pPr>
        <w:pStyle w:val="Heading2"/>
        <w:spacing w:after="160" w:before="280" w:line="276"/>
      </w:pPr>
      <w:r>
        <w:rPr>
          <w:rFonts w:ascii="Arial" w:cs="Arial" w:eastAsia="Arial" w:hAnsi="Arial"/>
          <w:b/>
          <w:bCs/>
          <w:i w:val="false"/>
          <w:iCs w:val="false"/>
          <w:color w:val="000000"/>
          <w:sz w:val="26"/>
          <w:szCs w:val="26"/>
        </w:rPr>
        <w:t xml:space="preserve">5.1 Scope and Expectations</w:t>
      </w:r>
    </w:p>
    <w:p>
      <w:pPr>
        <w:spacing w:after="120" w:line="276"/>
        <w:jc w:val="both"/>
      </w:pPr>
      <w:r>
        <w:rPr>
          <w:rFonts w:ascii="Arial" w:cs="Arial" w:eastAsia="Arial" w:hAnsi="Arial"/>
          <w:b w:val="false"/>
          <w:bCs w:val="false"/>
          <w:i w:val="false"/>
          <w:iCs w:val="false"/>
          <w:color w:val="000000"/>
          <w:sz w:val="22"/>
          <w:szCs w:val="22"/>
        </w:rPr>
        <w:t xml:space="preserve">This whitepaper is a conceptual proposal identifying an apparently unexplored parameter space in BCP photonics. It is an invitation to researchers with relevant expertise to evaluate feasibility, and a transparent statement of what is known, what is unknown, and what is assumed.</w:t>
      </w:r>
    </w:p>
    <w:p>
      <w:pPr>
        <w:spacing w:after="120" w:line="276"/>
        <w:jc w:val="both"/>
      </w:pPr>
      <w:r>
        <w:rPr>
          <w:rFonts w:ascii="Arial" w:cs="Arial" w:eastAsia="Arial" w:hAnsi="Arial"/>
          <w:b w:val="false"/>
          <w:bCs w:val="false"/>
          <w:i w:val="false"/>
          <w:iCs w:val="false"/>
          <w:color w:val="000000"/>
          <w:sz w:val="22"/>
          <w:szCs w:val="22"/>
        </w:rPr>
        <w:t xml:space="preserve">It is not a proof of concept—no fabrication, simulation, or experimental data exists. It is not a business plan or funding proposal. It is not a demonstration of commercial viability. The author is an independent researcher with a systems engineering background, not a polymer scientist or photonics specialist. The value of this contribution, if any, lies in the conceptual reframing and problem identification, not in technical execution.</w:t>
      </w:r>
    </w:p>
    <w:p>
      <w:pPr>
        <w:pStyle w:val="Heading2"/>
        <w:spacing w:after="160" w:before="280" w:line="276"/>
      </w:pPr>
      <w:r>
        <w:rPr>
          <w:rFonts w:ascii="Arial" w:cs="Arial" w:eastAsia="Arial" w:hAnsi="Arial"/>
          <w:b/>
          <w:bCs/>
          <w:i w:val="false"/>
          <w:iCs w:val="false"/>
          <w:color w:val="000000"/>
          <w:sz w:val="26"/>
          <w:szCs w:val="26"/>
        </w:rPr>
        <w:t xml:space="preserve">5.2 Invitation to Collaborate</w:t>
      </w:r>
    </w:p>
    <w:p>
      <w:pPr>
        <w:spacing w:after="120" w:line="276"/>
        <w:jc w:val="both"/>
      </w:pPr>
      <w:r>
        <w:rPr>
          <w:rFonts w:ascii="Arial" w:cs="Arial" w:eastAsia="Arial" w:hAnsi="Arial"/>
          <w:b w:val="false"/>
          <w:bCs w:val="false"/>
          <w:i w:val="false"/>
          <w:iCs w:val="false"/>
          <w:color w:val="000000"/>
          <w:sz w:val="22"/>
          <w:szCs w:val="22"/>
        </w:rPr>
        <w:t xml:space="preserve">This whitepaper is issued as an open invitation to research collaboration. The author seeks to engage researchers with expertise in block copolymer synthesis and confined self-assembly (to evaluate the fabrication gate), optical simulation and photonics modelling (to quantify FWHM broadening in spherical geometry before committing to fabrication), emulsion science and particle engineering (to assess practical constraints on bilayer count and uniformity), and automotive coatings formulation and OEM qualification (relevant only if earlier questions yield positive results).</w:t>
      </w:r>
    </w:p>
    <w:p>
      <w:pPr>
        <w:spacing w:after="120" w:line="276"/>
        <w:jc w:val="both"/>
      </w:pPr>
      <w:r>
        <w:rPr>
          <w:rFonts w:ascii="Arial" w:cs="Arial" w:eastAsia="Arial" w:hAnsi="Arial"/>
          <w:b w:val="false"/>
          <w:bCs w:val="false"/>
          <w:i w:val="false"/>
          <w:iCs w:val="false"/>
          <w:color w:val="000000"/>
          <w:sz w:val="22"/>
          <w:szCs w:val="22"/>
        </w:rPr>
        <w:t xml:space="preserve">Colour science, spectrophotometry, and visual psychophysics expertise is needed to define the perceptual thresholds for ‘dark ground’ and ‘visible flash.’ Sustainable polymer chemistry and EU REACH regulatory compliance expertise is needed to assess regulatory risk and evaluate bio-derived alternatives.</w:t>
      </w:r>
    </w:p>
    <w:p>
      <w:pPr>
        <w:spacing w:after="120" w:line="276"/>
        <w:jc w:val="both"/>
      </w:pPr>
      <w:r>
        <w:rPr>
          <w:rFonts w:ascii="Arial" w:cs="Arial" w:eastAsia="Arial" w:hAnsi="Arial"/>
          <w:b w:val="false"/>
          <w:bCs w:val="false"/>
          <w:i w:val="false"/>
          <w:iCs w:val="false"/>
          <w:color w:val="000000"/>
          <w:sz w:val="22"/>
          <w:szCs w:val="22"/>
        </w:rPr>
        <w:t xml:space="preserve">The author acknowledges that technical execution depends entirely on collaborator engagement. If no collaborator with the relevant expertise engages, this project cannot advance beyond the conceptual stage. This is a structural limitation, not a temporary one.</w:t>
      </w:r>
    </w:p>
    <w:p>
      <w:pPr>
        <w:spacing w:after="120" w:line="276"/>
        <w:jc w:val="both"/>
      </w:pPr>
      <w:r>
        <w:rPr>
          <w:rFonts w:ascii="Arial" w:cs="Arial" w:eastAsia="Arial" w:hAnsi="Arial"/>
          <w:b w:val="false"/>
          <w:bCs w:val="false"/>
          <w:i w:val="false"/>
          <w:iCs w:val="false"/>
          <w:color w:val="000000"/>
          <w:sz w:val="22"/>
          <w:szCs w:val="22"/>
        </w:rPr>
        <w:t xml:space="preserve">Contact: aaron@garcia.ltd</w:t>
      </w:r>
    </w:p>
    <w:p>
      <w:pPr>
        <w:pStyle w:val="Heading1"/>
        <w:spacing w:after="200" w:before="360" w:line="276"/>
      </w:pPr>
      <w:r>
        <w:rPr>
          <w:rFonts w:ascii="Arial" w:cs="Arial" w:eastAsia="Arial" w:hAnsi="Arial"/>
          <w:b/>
          <w:bCs/>
          <w:i w:val="false"/>
          <w:iCs w:val="false"/>
          <w:color w:val="000000"/>
          <w:sz w:val="32"/>
          <w:szCs w:val="32"/>
        </w:rPr>
        <w:t xml:space="preserve">6. References</w:t>
      </w:r>
    </w:p>
    <w:p>
      <w:pPr>
        <w:pStyle w:val="Heading2"/>
        <w:spacing w:after="160" w:before="280" w:line="276"/>
      </w:pPr>
      <w:r>
        <w:rPr>
          <w:rFonts w:ascii="Arial" w:cs="Arial" w:eastAsia="Arial" w:hAnsi="Arial"/>
          <w:b/>
          <w:bCs/>
          <w:i w:val="false"/>
          <w:iCs w:val="false"/>
          <w:color w:val="000000"/>
          <w:sz w:val="26"/>
          <w:szCs w:val="26"/>
        </w:rPr>
        <w:t xml:space="preserve">6.1 External References</w:t>
      </w:r>
    </w:p>
    <w:p>
      <w:pPr>
        <w:spacing w:after="120" w:line="276"/>
        <w:jc w:val="both"/>
      </w:pPr>
      <w:r>
        <w:rPr>
          <w:rFonts w:ascii="Arial" w:cs="Arial" w:eastAsia="Arial" w:hAnsi="Arial"/>
          <w:b w:val="false"/>
          <w:bCs w:val="false"/>
          <w:i w:val="false"/>
          <w:iCs w:val="false"/>
          <w:color w:val="000000"/>
          <w:sz w:val="22"/>
          <w:szCs w:val="22"/>
        </w:rPr>
        <w:t xml:space="preserve">Song, D.P. et al. (2019) Block Copolymer Photonic Particles via Emulsion-Evaporation. ACS Nano, 13(2), 1764–1771.</w:t>
      </w:r>
    </w:p>
    <w:p>
      <w:pPr>
        <w:spacing w:after="120" w:line="276"/>
        <w:jc w:val="both"/>
      </w:pPr>
      <w:r>
        <w:rPr>
          <w:rFonts w:ascii="Arial" w:cs="Arial" w:eastAsia="Arial" w:hAnsi="Arial"/>
          <w:b w:val="false"/>
          <w:bCs w:val="false"/>
          <w:i w:val="false"/>
          <w:iCs w:val="false"/>
          <w:color w:val="000000"/>
          <w:sz w:val="22"/>
          <w:szCs w:val="22"/>
        </w:rPr>
        <w:t xml:space="preserve">Dodero, A. et al. (2025) Structural colour from block copolymer microspheres. ACS Applied Polymer Materials.</w:t>
      </w:r>
    </w:p>
    <w:p>
      <w:pPr>
        <w:spacing w:after="120" w:line="276"/>
        <w:jc w:val="both"/>
      </w:pPr>
      <w:r>
        <w:rPr>
          <w:rFonts w:ascii="Arial" w:cs="Arial" w:eastAsia="Arial" w:hAnsi="Arial"/>
          <w:b w:val="false"/>
          <w:bCs w:val="false"/>
          <w:i w:val="false"/>
          <w:iCs w:val="false"/>
          <w:color w:val="000000"/>
          <w:sz w:val="22"/>
          <w:szCs w:val="22"/>
        </w:rPr>
        <w:t xml:space="preserve">Grand View Research (2023) Special Effect Pigments Market Size Report.</w:t>
      </w:r>
    </w:p>
    <w:p>
      <w:pPr>
        <w:spacing w:after="120" w:line="276"/>
        <w:jc w:val="both"/>
      </w:pPr>
      <w:r>
        <w:rPr>
          <w:rFonts w:ascii="Arial" w:cs="Arial" w:eastAsia="Arial" w:hAnsi="Arial"/>
          <w:b w:val="false"/>
          <w:bCs w:val="false"/>
          <w:i w:val="false"/>
          <w:iCs w:val="false"/>
          <w:color w:val="000000"/>
          <w:sz w:val="22"/>
          <w:szCs w:val="22"/>
        </w:rPr>
        <w:t xml:space="preserve">EU REACH Regulation 2023/2055—Restriction of synthetic polymer microparticles.</w:t>
      </w:r>
    </w:p>
    <w:p>
      <w:pPr>
        <w:pStyle w:val="Heading2"/>
        <w:spacing w:after="160" w:before="280" w:line="276"/>
      </w:pPr>
      <w:r>
        <w:rPr>
          <w:rFonts w:ascii="Arial" w:cs="Arial" w:eastAsia="Arial" w:hAnsi="Arial"/>
          <w:b/>
          <w:bCs/>
          <w:i w:val="false"/>
          <w:iCs w:val="false"/>
          <w:color w:val="000000"/>
          <w:sz w:val="26"/>
          <w:szCs w:val="26"/>
        </w:rPr>
        <w:t xml:space="preserve">6.2 Internal Project Documents</w:t>
      </w:r>
    </w:p>
    <w:p>
      <w:pPr>
        <w:spacing w:after="120" w:line="276"/>
        <w:jc w:val="both"/>
      </w:pPr>
      <w:r>
        <w:rPr>
          <w:rFonts w:ascii="Arial" w:cs="Arial" w:eastAsia="Arial" w:hAnsi="Arial"/>
          <w:b w:val="false"/>
          <w:bCs w:val="false"/>
          <w:i w:val="false"/>
          <w:iCs w:val="false"/>
          <w:color w:val="000000"/>
          <w:sz w:val="22"/>
          <w:szCs w:val="22"/>
        </w:rPr>
        <w:t xml:space="preserve">Project Labradorite: Commercial Applications of Synthetic Labradorescence (Research Report, February 2026).</w:t>
      </w:r>
    </w:p>
    <w:p>
      <w:pPr>
        <w:spacing w:after="120" w:line="276"/>
        <w:jc w:val="both"/>
      </w:pPr>
      <w:r>
        <w:rPr>
          <w:rFonts w:ascii="Arial" w:cs="Arial" w:eastAsia="Arial" w:hAnsi="Arial"/>
          <w:b w:val="false"/>
          <w:bCs w:val="false"/>
          <w:i w:val="false"/>
          <w:iCs w:val="false"/>
          <w:color w:val="000000"/>
          <w:sz w:val="22"/>
          <w:szCs w:val="22"/>
        </w:rPr>
        <w:t xml:space="preserve">Strategic Evaluation and Commercial Roadmap for Project Labradorite (Technical Analysis, 2026).</w:t>
      </w:r>
    </w:p>
    <w:p>
      <w:pPr>
        <w:spacing w:after="120" w:line="276"/>
        <w:jc w:val="both"/>
      </w:pPr>
      <w:r>
        <w:rPr>
          <w:rFonts w:ascii="Arial" w:cs="Arial" w:eastAsia="Arial" w:hAnsi="Arial"/>
          <w:b w:val="false"/>
          <w:bCs w:val="false"/>
          <w:i w:val="false"/>
          <w:iCs w:val="false"/>
          <w:color w:val="000000"/>
          <w:sz w:val="22"/>
          <w:szCs w:val="22"/>
        </w:rPr>
        <w:t xml:space="preserve">Critical Evaluation and Strategic Enhancement of Project Labradorite (External Review, 2026).</w:t>
      </w:r>
    </w:p>
    <w:p>
      <w:r>
        <w:br w:type="page"/>
      </w:r>
    </w:p>
    <w:p>
      <w:pPr>
        <w:pStyle w:val="Heading1"/>
        <w:spacing w:after="200" w:before="360" w:line="276"/>
      </w:pPr>
      <w:r>
        <w:rPr>
          <w:rFonts w:ascii="Arial" w:cs="Arial" w:eastAsia="Arial" w:hAnsi="Arial"/>
          <w:b/>
          <w:bCs/>
          <w:i w:val="false"/>
          <w:iCs w:val="false"/>
          <w:color w:val="000000"/>
          <w:sz w:val="32"/>
          <w:szCs w:val="32"/>
        </w:rPr>
        <w:t xml:space="preserve">Appendix A: Document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Field</w:t>
            </w:r>
          </w:p>
        </w:tc>
        <w:tc>
          <w:tcPr>
            <w:tcW w:type="pct" w:w="5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Value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Title</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Labradorescent Dark-Ground Effect Pigments via Block Copolymer Self-Assembly</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Subtitle</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Collaboration Whitepaper Proposing Investigation of Narrow-Band Structural Colour Particles</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GUID</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AG-2026-0225-9661</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Version</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1.0</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Date</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25 February 2026</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Author</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Aaron Garcia</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Affiliation</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Independent Researcher</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Contact</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aaron@garcia.ltd</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Origin Context</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Conceptual proposal developed from systems engineering analysis of structural colour parameter spaces</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Status</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Final Draft</w:t>
            </w:r>
          </w:p>
        </w:tc>
      </w:tr>
    </w:tbl>
    <w:p>
      <w:pPr>
        <w:spacing w:after="80"/>
      </w:pPr>
    </w:p>
    <w:p>
      <w:pPr>
        <w:pStyle w:val="Heading1"/>
        <w:spacing w:after="200" w:before="360" w:line="276"/>
      </w:pPr>
      <w:r>
        <w:rPr>
          <w:rFonts w:ascii="Arial" w:cs="Arial" w:eastAsia="Arial" w:hAnsi="Arial"/>
          <w:b/>
          <w:bCs/>
          <w:i w:val="false"/>
          <w:iCs w:val="false"/>
          <w:color w:val="000000"/>
          <w:sz w:val="32"/>
          <w:szCs w:val="32"/>
        </w:rPr>
        <w:t xml:space="preserve">Appendix B: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Term</w:t>
            </w:r>
          </w:p>
        </w:tc>
        <w:tc>
          <w:tcPr>
            <w:tcW w:type="pct" w:w="50%"/>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Definition</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BCP</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Block copolymer—a polymer comprising two or more chemically distinct blocks covalently linked together</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Δn</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Refractive-index contrast between alternating layers in a multilayer structure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FWHM</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Full width at half maximum—the spectral width of a reflection peak measured at half its maximum intensity</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Bragg reflection</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Constructive interference of light reflected from periodic layers, producing a wavelength-selective reflection peak</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Labradorescence</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The optical phenomenon in labradorite feldspar where a narrow-band colour flash appears within a restricted angular window against a dark background</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Dark-ground effect</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The appearance of a dark (near-black) substrate at viewing angles outside the narrow Bragg reflection window</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Bilayer</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One pair of alternating high- and low-refractive-index layers in a periodic multilayer structure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Emulsion-confined self-assembly</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fabrication method in which BCP chains self-organise into periodic structures within the confines of an emulsion droplet</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FDTD</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Finite-difference time-domain—a numerical method for solving electromagnetic wave propagation problems</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Transfer-matrix method</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An analytical technique for calculating the optical properties of multilayer thin-film structures</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OEM</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Original equipment manufacturer</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PPF</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Paint protection film</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QUV</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Accelerated weathering testing using UV light exposure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REACH</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Registration, Evaluation, Authorisation, and Restriction of Chemicals—the European Union chemicals regulation</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CNIPA</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China National Intellectual Property Administration</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J-PlatPat</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Japan Patent Information Platform</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KIPRIS</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Korea Intellectual Property Rights Information Service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CIE L*a*b*</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 perceptually uniform colour space defined by the International Commission on Illumination</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 (Chroma)</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The saturation component in CIE L*a*b* colour space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L* (Lightness)</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The lightness component in CIE L*a*b* colour space, where 0 is black and 100 is white</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ΔE</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Colour difference—a metric quantifying the perceptual difference between two colours</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HPC-PEG</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Hydroxypropyl cellulose–polyethylene glycol—a bio-derived polymer system</w:t>
            </w:r>
          </w:p>
        </w:tc>
      </w:tr>
      <w:tr>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PCL</w:t>
            </w:r>
          </w:p>
        </w:tc>
        <w:tc>
          <w:tcPr>
            <w:tcW w:type="pct" w:w="50%"/>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Polycaprolactone—a biodegradable polyester</w:t>
            </w:r>
          </w:p>
        </w:tc>
      </w:tr>
    </w:tbl>
    <w:p>
      <w:pPr>
        <w:spacing w:after="80"/>
      </w:pPr>
    </w:p>
    <w:p>
      <w:pPr>
        <w:pStyle w:val="Heading1"/>
        <w:spacing w:after="200" w:before="360" w:line="276"/>
      </w:pPr>
      <w:r>
        <w:rPr>
          <w:rFonts w:ascii="Arial" w:cs="Arial" w:eastAsia="Arial" w:hAnsi="Arial"/>
          <w:b/>
          <w:bCs/>
          <w:i w:val="false"/>
          <w:iCs w:val="false"/>
          <w:color w:val="000000"/>
          <w:sz w:val="32"/>
          <w:szCs w:val="32"/>
        </w:rPr>
        <w:t xml:space="preserve">Appendix C: Methodology and Transparency Statement</w:t>
      </w:r>
    </w:p>
    <w:p>
      <w:pPr>
        <w:spacing w:after="120" w:line="276"/>
        <w:jc w:val="both"/>
      </w:pPr>
      <w:r>
        <w:rPr>
          <w:rFonts w:ascii="Arial" w:cs="Arial" w:eastAsia="Arial" w:hAnsi="Arial"/>
          <w:b/>
          <w:bCs/>
          <w:i w:val="false"/>
          <w:iCs w:val="false"/>
          <w:color w:val="000000"/>
          <w:sz w:val="22"/>
          <w:szCs w:val="22"/>
        </w:rPr>
        <w:t xml:space="preserve">Author Context and Expertise</w:t>
      </w:r>
    </w:p>
    <w:p>
      <w:pPr>
        <w:spacing w:after="120" w:line="276"/>
        <w:jc w:val="both"/>
      </w:pPr>
      <w:r>
        <w:rPr>
          <w:rFonts w:ascii="Arial" w:cs="Arial" w:eastAsia="Arial" w:hAnsi="Arial"/>
          <w:b w:val="false"/>
          <w:bCs w:val="false"/>
          <w:i w:val="false"/>
          <w:iCs w:val="false"/>
          <w:color w:val="000000"/>
          <w:sz w:val="22"/>
          <w:szCs w:val="22"/>
        </w:rPr>
        <w:t xml:space="preserve">This work is grounded in 30 years of multi-sector experience in Systems Engineering. The analytical framework reflects professional history, focusing on practical application.</w:t>
      </w:r>
    </w:p>
    <w:p>
      <w:pPr>
        <w:spacing w:after="120" w:line="276"/>
        <w:jc w:val="both"/>
      </w:pPr>
      <w:r>
        <w:rPr>
          <w:rFonts w:ascii="Arial" w:cs="Arial" w:eastAsia="Arial" w:hAnsi="Arial"/>
          <w:b/>
          <w:bCs/>
          <w:i w:val="false"/>
          <w:iCs w:val="false"/>
          <w:color w:val="000000"/>
          <w:sz w:val="22"/>
          <w:szCs w:val="22"/>
        </w:rPr>
        <w:t xml:space="preserve">Digital Methodology and Accessibility</w:t>
      </w:r>
    </w:p>
    <w:p>
      <w:pPr>
        <w:spacing w:after="120" w:line="276"/>
        <w:jc w:val="both"/>
      </w:pPr>
      <w:r>
        <w:rPr>
          <w:rFonts w:ascii="Arial" w:cs="Arial" w:eastAsia="Arial" w:hAnsi="Arial"/>
          <w:b w:val="false"/>
          <w:bCs w:val="false"/>
          <w:i w:val="false"/>
          <w:iCs w:val="false"/>
          <w:color w:val="000000"/>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use these models as assistive technology to refine grammar and streamline sentence structure.</w:t>
      </w:r>
    </w:p>
    <w:p>
      <w:pPr>
        <w:spacing w:after="120" w:line="276"/>
        <w:jc w:val="both"/>
      </w:pPr>
      <w:r>
        <w:rPr>
          <w:rFonts w:ascii="Arial" w:cs="Arial" w:eastAsia="Arial" w:hAnsi="Arial"/>
          <w:b/>
          <w:bCs/>
          <w:i w:val="false"/>
          <w:iCs w:val="false"/>
          <w:color w:val="000000"/>
          <w:sz w:val="22"/>
          <w:szCs w:val="22"/>
        </w:rPr>
        <w:t xml:space="preserve">Verification and Integrity</w:t>
      </w:r>
    </w:p>
    <w:p>
      <w:pPr>
        <w:spacing w:after="120" w:line="276"/>
        <w:jc w:val="both"/>
      </w:pPr>
      <w:r>
        <w:rPr>
          <w:rFonts w:ascii="Arial" w:cs="Arial" w:eastAsia="Arial" w:hAnsi="Arial"/>
          <w:b w:val="false"/>
          <w:bCs w:val="false"/>
          <w:i w:val="false"/>
          <w:iCs w:val="false"/>
          <w:color w:val="000000"/>
          <w:sz w:val="22"/>
          <w:szCs w:val="22"/>
        </w:rPr>
        <w:t xml:space="preserve">While AI assisted in processing data, the intellectual oversight is entirely human. I performed manual validation of all citations and accept full responsibility for the accuracy and originality of the final output.</w:t>
      </w:r>
    </w:p>
    <w:p>
      <w:pPr>
        <w:spacing w:after="80"/>
      </w:pPr>
    </w:p>
    <w:p>
      <w:pPr>
        <w:pStyle w:val="Heading1"/>
        <w:spacing w:after="200" w:before="360" w:line="276"/>
      </w:pPr>
      <w:r>
        <w:rPr>
          <w:rFonts w:ascii="Arial" w:cs="Arial" w:eastAsia="Arial" w:hAnsi="Arial"/>
          <w:b/>
          <w:bCs/>
          <w:i w:val="false"/>
          <w:iCs w:val="false"/>
          <w:color w:val="000000"/>
          <w:sz w:val="32"/>
          <w:szCs w:val="32"/>
        </w:rPr>
        <w:t xml:space="preserve">Appendix D: Quantitative Working Targets</w:t>
      </w:r>
    </w:p>
    <w:p>
      <w:pPr>
        <w:spacing w:after="120" w:line="276"/>
        <w:jc w:val="both"/>
      </w:pPr>
      <w:r>
        <w:rPr>
          <w:rFonts w:ascii="Arial" w:cs="Arial" w:eastAsia="Arial" w:hAnsi="Arial"/>
          <w:b w:val="false"/>
          <w:bCs w:val="false"/>
          <w:i w:val="false"/>
          <w:iCs w:val="false"/>
          <w:color w:val="000000"/>
          <w:sz w:val="22"/>
          <w:szCs w:val="22"/>
        </w:rPr>
        <w:t xml:space="preserve">The following terms are defined here as working targets to be refined through simulation and experiment. They are proposed as starting points for collaborative discussion, not as validated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Term</w:t>
            </w:r>
          </w:p>
        </w:tc>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Working Definition</w:t>
            </w:r>
          </w:p>
        </w:tc>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Caveats</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Narrow-band</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FWHM less than approximately 40 nm in flat-film theory. Working target for differentiation: FWHM less than approximately 60 nm in dispersed geometry.</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Achievable FWHM in spherical particle geometry is unknown and likely wider than flat-film predictions.</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Dark-ground flash</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Colour flash visible within a restricted angular window (estimated less than 15–20° from the Bragg angle), with substrate appearing perceptually dark (L* &lt; 25 in CIE L*a*b*) outside this window.</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Dark-ground L* target depends on absorptive matrix formulation and has not been validated.</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Vivid flash</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Peak chroma (C*) at the flash angle exceeding approximately 30, with ΔE from background exceeding approximately 40.</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Preliminary estimates intended to define a measurable threshold, not validated perceptual requirements.</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Sufficient layer count</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Bilayers required to achieve peak reflectance of at least 20% at target Δn. At Δn = 0.05: ~45–50 bilayers. At Δn = 0.10: ~20–25 bilayers.</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Flat-film ideal values; real particles require more layers to compensate for defects.</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Equivalent optical performance (bio-derived BCPs)</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At least 80% of peak reflectance and no more than 130% of FWHM measured for best-performing conventional BCP particles at same target wavelength.</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Arbitrary starting points; should be refined based on application requirements.</w:t>
            </w:r>
          </w:p>
        </w:tc>
      </w:tr>
    </w:tbl>
    <w:p>
      <w:pPr>
        <w:spacing w:after="80"/>
      </w:pPr>
    </w:p>
    <w:p>
      <w:pPr>
        <w:pStyle w:val="Heading1"/>
        <w:spacing w:after="200" w:before="360" w:line="276"/>
      </w:pPr>
      <w:r>
        <w:rPr>
          <w:rFonts w:ascii="Arial" w:cs="Arial" w:eastAsia="Arial" w:hAnsi="Arial"/>
          <w:b/>
          <w:bCs/>
          <w:i w:val="false"/>
          <w:iCs w:val="false"/>
          <w:color w:val="000000"/>
          <w:sz w:val="32"/>
          <w:szCs w:val="32"/>
        </w:rPr>
        <w:t xml:space="preserve">Appendix E: Change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Version</w:t>
            </w:r>
          </w:p>
        </w:tc>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Date</w:t>
            </w:r>
          </w:p>
        </w:tc>
        <w:tc>
          <w:tcPr>
            <w:tcW w:type="pct" w:w="33.333333333333336%"/>
            <w:tcBorders>
              <w:top w:val="single" w:color="999999" w:sz="1"/>
              <w:left w:val="single" w:color="999999" w:sz="1"/>
              <w:bottom w:val="single" w:color="999999" w:sz="1"/>
              <w:right w:val="single" w:color="999999" w:sz="1"/>
            </w:tcBorders>
            <w:shd w:fill="D9E2F3" w:color="auto" w:val="clear"/>
          </w:tcPr>
          <w:p>
            <w:pPr>
              <w:spacing w:after="40"/>
            </w:pPr>
            <w:r>
              <w:rPr>
                <w:rFonts w:ascii="Arial" w:cs="Arial" w:eastAsia="Arial" w:hAnsi="Arial"/>
                <w:b/>
                <w:bCs/>
                <w:i w:val="false"/>
                <w:iCs w:val="false"/>
                <w:color w:val="000000"/>
                <w:sz w:val="22"/>
                <w:szCs w:val="22"/>
              </w:rPr>
              <w:t xml:space="preserve">Description</w:t>
            </w:r>
          </w:p>
        </w:tc>
      </w:tr>
      <w:tr>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1.0</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25 February 2026</w:t>
            </w:r>
          </w:p>
        </w:tc>
        <w:tc>
          <w:tcPr>
            <w:tcW w:type="pct" w:w="33.333333333333336%"/>
            <w:tcBorders>
              <w:top w:val="single" w:color="999999" w:sz="1"/>
              <w:left w:val="single" w:color="999999" w:sz="1"/>
              <w:bottom w:val="single" w:color="999999" w:sz="1"/>
              <w:right w:val="single" w:color="999999" w:sz="1"/>
            </w:tcBorders>
          </w:tcPr>
          <w:p>
            <w:pPr>
              <w:spacing w:after="40"/>
            </w:pPr>
            <w:r>
              <w:rPr>
                <w:rFonts w:ascii="Arial" w:cs="Arial" w:eastAsia="Arial" w:hAnsi="Arial"/>
                <w:b w:val="false"/>
                <w:bCs w:val="false"/>
                <w:i w:val="false"/>
                <w:iCs w:val="false"/>
                <w:color w:val="000000"/>
                <w:sz w:val="22"/>
                <w:szCs w:val="22"/>
              </w:rPr>
              <w:t xml:space="preserve">Initial formatted release. Document structured as Type A scientific/conceptual paper following publication template. Content synthesised from source research notes and iterative development. All working targets, limitations, and risk assessments integrated into the body text. Quantitative working targets preserved in Appendix D.</w:t>
            </w:r>
          </w:p>
        </w:tc>
      </w:tr>
    </w:tbl>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60" w:before="280"/>
    </w:pPr>
    <w:rPr>
      <w:rFonts w:ascii="Arial" w:cs="Arial" w:eastAsia="Arial" w:hAnsi="Arial"/>
      <w:b/>
      <w:bCs/>
      <w:color w:val="2E5090"/>
      <w:sz w:val="26"/>
      <w:szCs w:val="26"/>
    </w:rPr>
  </w:style>
  <w:style w:type="paragraph" w:styleId="Heading3">
    <w:name w:val="Heading 3"/>
    <w:basedOn w:val="Normal"/>
    <w:next w:val="Normal"/>
    <w:qFormat/>
    <w:pPr>
      <w:spacing w:after="120" w:before="240"/>
    </w:pPr>
    <w:rPr>
      <w:rFonts w:ascii="Arial" w:cs="Arial" w:eastAsia="Arial" w:hAnsi="Arial"/>
      <w:b/>
      <w:bCs/>
      <w:color w:val="36609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Labradorescent Dark-Ground Effect Pigments via Block Copolymer Self-Assembly</dc:title>
  <dc:creator>Aaron Garcia</dc:creator>
  <dc:description>A Collaboration Whitepaper Proposing Investigation of Narrow-Band Structural Colour Particles</dc:description>
  <cp:lastModifiedBy>Un-named</cp:lastModifiedBy>
  <cp:revision>1</cp:revision>
  <dcterms:created xsi:type="dcterms:W3CDTF">2026-02-25T21:09:40.889Z</dcterms:created>
  <dcterms:modified xsi:type="dcterms:W3CDTF">2026-02-25T21:09:40.889Z</dcterms:modified>
</cp:coreProperties>
</file>

<file path=docProps/custom.xml><?xml version="1.0" encoding="utf-8"?>
<Properties xmlns="http://schemas.openxmlformats.org/officeDocument/2006/custom-properties" xmlns:vt="http://schemas.openxmlformats.org/officeDocument/2006/docPropsVTypes"/>
</file>