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VI. Test Procedure</w:t>
      </w:r>
    </w:p>
    <w:p>
      <w:pPr>
        <w:spacing w:after="200"/>
      </w:pPr>
      <w:r>
        <w:rPr>
          <w:rFonts w:ascii="Arial" w:cs="Arial" w:eastAsia="Arial" w:hAnsi="Arial"/>
          <w:sz w:val="22"/>
          <w:szCs w:val="22"/>
        </w:rPr>
        <w:t xml:space="preserve">The original Python prototype shipped with a TDD test file (legacy-python/test.py) covering the three core algorithms. Because the JS port preserves the same constants (THRESHOLD = 0.15, COOLDOWN = 0.15 s, MIN_BPM = 20, MAX_BPM = 300) and algorithms, those tests still validate the production behavior. Manual tests cover the audio path and UI state machine that unit tests cannot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400"/>
        <w:gridCol w:w="1000"/>
        <w:gridCol w:w="3210"/>
        <w:gridCol w:w="3210"/>
      </w:tblGrid>
      <w:tr>
        <w:trPr>
          <w:cantSplit w:val="false"/>
          <w:tblHeader/>
        </w:trPr>
        <w:tc>
          <w:tcPr>
            <w:tcW w:type="dxa" w:w="540"/>
            <w:tcBorders>
              <w:top w:val="single" w:color="999999" w:sz="6"/>
              <w:left w:val="single" w:color="999999" w:sz="6"/>
              <w:bottom w:val="single" w:color="999999" w:sz="6"/>
              <w:right w:val="single" w:color="999999" w:sz="6"/>
            </w:tcBorders>
            <w:shd w:fill="1F3A5F" w:color="auto"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2"/>
                <w:szCs w:val="22"/>
              </w:rPr>
              <w:t xml:space="preserve">#</w:t>
            </w:r>
          </w:p>
        </w:tc>
        <w:tc>
          <w:tcPr>
            <w:tcW w:type="dxa" w:w="1400"/>
            <w:tcBorders>
              <w:top w:val="single" w:color="999999" w:sz="6"/>
              <w:left w:val="single" w:color="999999" w:sz="6"/>
              <w:bottom w:val="single" w:color="999999" w:sz="6"/>
              <w:right w:val="single" w:color="999999" w:sz="6"/>
            </w:tcBorders>
            <w:shd w:fill="1F3A5F" w:color="auto"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2"/>
                <w:szCs w:val="22"/>
              </w:rPr>
              <w:t xml:space="preserve">Test</w:t>
            </w:r>
          </w:p>
        </w:tc>
        <w:tc>
          <w:tcPr>
            <w:tcW w:type="dxa" w:w="1000"/>
            <w:tcBorders>
              <w:top w:val="single" w:color="999999" w:sz="6"/>
              <w:left w:val="single" w:color="999999" w:sz="6"/>
              <w:bottom w:val="single" w:color="999999" w:sz="6"/>
              <w:right w:val="single" w:color="999999" w:sz="6"/>
            </w:tcBorders>
            <w:shd w:fill="1F3A5F" w:color="auto"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2"/>
                <w:szCs w:val="22"/>
              </w:rPr>
              <w:t xml:space="preserve">Type</w:t>
            </w:r>
          </w:p>
        </w:tc>
        <w:tc>
          <w:tcPr>
            <w:tcW w:type="dxa" w:w="3210"/>
            <w:tcBorders>
              <w:top w:val="single" w:color="999999" w:sz="6"/>
              <w:left w:val="single" w:color="999999" w:sz="6"/>
              <w:bottom w:val="single" w:color="999999" w:sz="6"/>
              <w:right w:val="single" w:color="999999" w:sz="6"/>
            </w:tcBorders>
            <w:shd w:fill="1F3A5F" w:color="auto"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2"/>
                <w:szCs w:val="22"/>
              </w:rPr>
              <w:t xml:space="preserve">Procedure</w:t>
            </w:r>
          </w:p>
        </w:tc>
        <w:tc>
          <w:tcPr>
            <w:tcW w:type="dxa" w:w="3210"/>
            <w:tcBorders>
              <w:top w:val="single" w:color="999999" w:sz="6"/>
              <w:left w:val="single" w:color="999999" w:sz="6"/>
              <w:bottom w:val="single" w:color="999999" w:sz="6"/>
              <w:right w:val="single" w:color="999999" w:sz="6"/>
            </w:tcBorders>
            <w:shd w:fill="1F3A5F" w:color="auto"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2"/>
                <w:szCs w:val="22"/>
              </w:rPr>
              <w:t xml:space="preserve">Pass criteria</w:t>
            </w:r>
          </w:p>
        </w:tc>
      </w:tr>
      <w:tr>
        <w:trPr>
          <w:cantSplit w:val="false"/>
          <w:tblHeader w:val="false"/>
        </w:trPr>
        <w:tc>
          <w:tcPr>
            <w:tcW w:type="dxa" w:w="54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center"/>
            </w:pPr>
            <w:r>
              <w:rPr>
                <w:rFonts w:ascii="Arial" w:cs="Arial" w:eastAsia="Arial" w:hAnsi="Arial"/>
                <w:b/>
                <w:bCs/>
                <w:color w:val="000000"/>
                <w:sz w:val="20"/>
                <w:szCs w:val="20"/>
              </w:rPr>
              <w:t xml:space="preserve">1</w:t>
            </w:r>
          </w:p>
        </w:tc>
        <w:tc>
          <w:tcPr>
            <w:tcW w:type="dxa" w:w="1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bCs/>
                <w:color w:val="000000"/>
                <w:sz w:val="20"/>
                <w:szCs w:val="20"/>
              </w:rPr>
              <w:t xml:space="preserve">BPM validation</w:t>
            </w:r>
          </w:p>
        </w:tc>
        <w:tc>
          <w:tcPr>
            <w:tcW w:type="dxa" w:w="100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val="false"/>
                <w:bCs w:val="false"/>
                <w:color w:val="000000"/>
                <w:sz w:val="20"/>
                <w:szCs w:val="20"/>
              </w:rPr>
              <w:t xml:space="preserve">Automated</w:t>
            </w:r>
          </w:p>
        </w:tc>
        <w:tc>
          <w:tcPr>
            <w:tcW w:type="dxa" w:w="321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val="false"/>
                <w:bCs w:val="false"/>
                <w:color w:val="000000"/>
                <w:sz w:val="20"/>
                <w:szCs w:val="20"/>
              </w:rPr>
              <w:t xml:space="preserve">Run python test.py. Drives start_metronome() with five inputs: "0", "-50", "301", "abc", and "120".</w:t>
            </w:r>
          </w:p>
        </w:tc>
        <w:tc>
          <w:tcPr>
            <w:tcW w:type="dxa" w:w="321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val="false"/>
                <w:bCs w:val="false"/>
                <w:color w:val="000000"/>
                <w:sz w:val="20"/>
                <w:szCs w:val="20"/>
              </w:rPr>
              <w:t xml:space="preserve">First four inputs trigger an error message containing "valid". Input "120" populates the status label with the BPM value.</w:t>
            </w:r>
          </w:p>
        </w:tc>
      </w:tr>
      <w:tr>
        <w:trPr>
          <w:cantSplit w:val="false"/>
          <w:tblHeader w:val="false"/>
        </w:trPr>
        <w:tc>
          <w:tcPr>
            <w:tcW w:type="dxa" w:w="54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center"/>
            </w:pPr>
            <w:r>
              <w:rPr>
                <w:rFonts w:ascii="Arial" w:cs="Arial" w:eastAsia="Arial" w:hAnsi="Arial"/>
                <w:b/>
                <w:bCs/>
                <w:color w:val="000000"/>
                <w:sz w:val="20"/>
                <w:szCs w:val="20"/>
              </w:rPr>
              <w:t xml:space="preserve">2</w:t>
            </w:r>
          </w:p>
        </w:tc>
        <w:tc>
          <w:tcPr>
            <w:tcW w:type="dxa" w:w="1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bCs/>
                <w:color w:val="000000"/>
                <w:sz w:val="20"/>
                <w:szCs w:val="20"/>
              </w:rPr>
              <w:t xml:space="preserve">Beat timing accuracy</w:t>
            </w:r>
          </w:p>
        </w:tc>
        <w:tc>
          <w:tcPr>
            <w:tcW w:type="dxa" w:w="100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val="false"/>
                <w:bCs w:val="false"/>
                <w:color w:val="000000"/>
                <w:sz w:val="20"/>
                <w:szCs w:val="20"/>
              </w:rPr>
              <w:t xml:space="preserve">Automated</w:t>
            </w:r>
          </w:p>
        </w:tc>
        <w:tc>
          <w:tcPr>
            <w:tcW w:type="dxa" w:w="321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val="false"/>
                <w:bCs w:val="false"/>
                <w:color w:val="000000"/>
                <w:sz w:val="20"/>
                <w:szCs w:val="20"/>
              </w:rPr>
              <w:t xml:space="preserve">Patches time.sleep and time.perf_counter, calls metronome_loop() at 60, 120, and 180 BPM.</w:t>
            </w:r>
          </w:p>
        </w:tc>
        <w:tc>
          <w:tcPr>
            <w:tcW w:type="dxa" w:w="321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val="false"/>
                <w:bCs w:val="false"/>
                <w:color w:val="000000"/>
                <w:sz w:val="20"/>
                <w:szCs w:val="20"/>
              </w:rPr>
              <w:t xml:space="preserve">Sleep argument is 1.000 s, 0.500 s, and 0.333 s respectively (assertAlmostEqual to 2 decimal places).</w:t>
            </w:r>
          </w:p>
        </w:tc>
      </w:tr>
      <w:tr>
        <w:trPr>
          <w:cantSplit w:val="false"/>
          <w:tblHeader w:val="false"/>
        </w:trPr>
        <w:tc>
          <w:tcPr>
            <w:tcW w:type="dxa" w:w="54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center"/>
            </w:pPr>
            <w:r>
              <w:rPr>
                <w:rFonts w:ascii="Arial" w:cs="Arial" w:eastAsia="Arial" w:hAnsi="Arial"/>
                <w:b/>
                <w:bCs/>
                <w:color w:val="000000"/>
                <w:sz w:val="20"/>
                <w:szCs w:val="20"/>
              </w:rPr>
              <w:t xml:space="preserve">3</w:t>
            </w:r>
          </w:p>
        </w:tc>
        <w:tc>
          <w:tcPr>
            <w:tcW w:type="dxa" w:w="1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bCs/>
                <w:color w:val="000000"/>
                <w:sz w:val="20"/>
                <w:szCs w:val="20"/>
              </w:rPr>
              <w:t xml:space="preserve">Hit detection and cooldown</w:t>
            </w:r>
          </w:p>
        </w:tc>
        <w:tc>
          <w:tcPr>
            <w:tcW w:type="dxa" w:w="100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val="false"/>
                <w:bCs w:val="false"/>
                <w:color w:val="000000"/>
                <w:sz w:val="20"/>
                <w:szCs w:val="20"/>
              </w:rPr>
              <w:t xml:space="preserve">Automated</w:t>
            </w:r>
          </w:p>
        </w:tc>
        <w:tc>
          <w:tcPr>
            <w:tcW w:type="dxa" w:w="321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val="false"/>
                <w:bCs w:val="false"/>
                <w:color w:val="000000"/>
                <w:sz w:val="20"/>
                <w:szCs w:val="20"/>
              </w:rPr>
              <w:t xml:space="preserve">Fabricates 1024-sample numpy blocks above and below THRESHOLD, with last_hit_time set to active and elapsed cooldown states.</w:t>
            </w:r>
          </w:p>
        </w:tc>
        <w:tc>
          <w:tcPr>
            <w:tcW w:type="dxa" w:w="321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val="false"/>
                <w:bCs w:val="false"/>
                <w:color w:val="000000"/>
                <w:sz w:val="20"/>
                <w:szCs w:val="20"/>
              </w:rPr>
              <w:t xml:space="preserve">Above threshold with elapsed cooldown prints "Hit detected". Below threshold or active cooldown prints nothing.</w:t>
            </w:r>
          </w:p>
        </w:tc>
      </w:tr>
      <w:tr>
        <w:trPr>
          <w:cantSplit w:val="false"/>
          <w:tblHeader w:val="false"/>
        </w:trPr>
        <w:tc>
          <w:tcPr>
            <w:tcW w:type="dxa" w:w="54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center"/>
            </w:pPr>
            <w:r>
              <w:rPr>
                <w:rFonts w:ascii="Arial" w:cs="Arial" w:eastAsia="Arial" w:hAnsi="Arial"/>
                <w:b/>
                <w:bCs/>
                <w:color w:val="000000"/>
                <w:sz w:val="20"/>
                <w:szCs w:val="20"/>
              </w:rPr>
              <w:t xml:space="preserve">4</w:t>
            </w:r>
          </w:p>
        </w:tc>
        <w:tc>
          <w:tcPr>
            <w:tcW w:type="dxa" w:w="1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bCs/>
                <w:color w:val="000000"/>
                <w:sz w:val="20"/>
                <w:szCs w:val="20"/>
              </w:rPr>
              <w:t xml:space="preserve">Metronome Start/Stop UI</w:t>
            </w:r>
          </w:p>
        </w:tc>
        <w:tc>
          <w:tcPr>
            <w:tcW w:type="dxa" w:w="100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val="false"/>
                <w:bCs w:val="false"/>
                <w:color w:val="000000"/>
                <w:sz w:val="20"/>
                <w:szCs w:val="20"/>
              </w:rPr>
              <w:t xml:space="preserve">Manual</w:t>
            </w:r>
          </w:p>
        </w:tc>
        <w:tc>
          <w:tcPr>
            <w:tcW w:type="dxa" w:w="321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val="false"/>
                <w:bCs w:val="false"/>
                <w:color w:val="000000"/>
                <w:sz w:val="20"/>
                <w:szCs w:val="20"/>
              </w:rPr>
              <w:t xml:space="preserve">Run python -m http.server 8000 and open #/metronome. Set BPM to 120 and click Start; then click Stop. Repeat at 40, 300, and out-of-range values 5 and 500.</w:t>
            </w:r>
          </w:p>
        </w:tc>
        <w:tc>
          <w:tcPr>
            <w:tcW w:type="dxa" w:w="321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val="false"/>
                <w:bCs w:val="false"/>
                <w:color w:val="000000"/>
                <w:sz w:val="20"/>
                <w:szCs w:val="20"/>
              </w:rPr>
              <w:t xml:space="preserve">Beat dots flash in sync with the audible click every 500 ms. Stop halts both audio and visual immediately. Out-of-range values are clamped, not accepted. Capture screenshots.</w:t>
            </w:r>
          </w:p>
        </w:tc>
      </w:tr>
      <w:tr>
        <w:trPr>
          <w:cantSplit w:val="false"/>
          <w:tblHeader w:val="false"/>
        </w:trPr>
        <w:tc>
          <w:tcPr>
            <w:tcW w:type="dxa" w:w="54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center"/>
            </w:pPr>
            <w:r>
              <w:rPr>
                <w:rFonts w:ascii="Arial" w:cs="Arial" w:eastAsia="Arial" w:hAnsi="Arial"/>
                <w:b/>
                <w:bCs/>
                <w:color w:val="000000"/>
                <w:sz w:val="20"/>
                <w:szCs w:val="20"/>
              </w:rPr>
              <w:t xml:space="preserve">5</w:t>
            </w:r>
          </w:p>
        </w:tc>
        <w:tc>
          <w:tcPr>
            <w:tcW w:type="dxa" w:w="1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bCs/>
                <w:color w:val="000000"/>
                <w:sz w:val="20"/>
                <w:szCs w:val="20"/>
              </w:rPr>
              <w:t xml:space="preserve">End-to-end exercise run</w:t>
            </w:r>
          </w:p>
        </w:tc>
        <w:tc>
          <w:tcPr>
            <w:tcW w:type="dxa" w:w="100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val="false"/>
                <w:bCs w:val="false"/>
                <w:color w:val="000000"/>
                <w:sz w:val="20"/>
                <w:szCs w:val="20"/>
              </w:rPr>
              <w:t xml:space="preserve">Manual</w:t>
            </w:r>
          </w:p>
        </w:tc>
        <w:tc>
          <w:tcPr>
            <w:tcW w:type="dxa" w:w="321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val="false"/>
                <w:bCs w:val="false"/>
                <w:color w:val="000000"/>
                <w:sz w:val="20"/>
                <w:szCs w:val="20"/>
              </w:rPr>
              <w:t xml:space="preserve">Calibrate at #/calibrate, then navigate to #/exercises/timing and choose Quarter Notes. Click Start and tap with the click through the run. Inspect results screen and #/progress.</w:t>
            </w:r>
          </w:p>
        </w:tc>
        <w:tc>
          <w:tcPr>
            <w:tcW w:type="dxa" w:w="3210"/>
            <w:tcBorders>
              <w:top w:val="single" w:color="999999" w:sz="6"/>
              <w:left w:val="single" w:color="999999" w:sz="6"/>
              <w:bottom w:val="single" w:color="999999" w:sz="6"/>
              <w:right w:val="single" w:color="999999" w:sz="6"/>
            </w:tcBorders>
            <w:tcMar>
              <w:top w:type="dxa" w:w="100"/>
              <w:left w:type="dxa" w:w="140"/>
              <w:bottom w:type="dxa" w:w="100"/>
              <w:right w:type="dxa" w:w="140"/>
            </w:tcMar>
            <w:vAlign w:val="top"/>
          </w:tcPr>
          <w:p>
            <w:pPr>
              <w:spacing w:after="0" w:before="0"/>
              <w:jc w:val="left"/>
            </w:pPr>
            <w:r>
              <w:rPr>
                <w:rFonts w:ascii="Arial" w:cs="Arial" w:eastAsia="Arial" w:hAnsi="Arial"/>
                <w:b w:val="false"/>
                <w:bCs w:val="false"/>
                <w:color w:val="000000"/>
                <w:sz w:val="20"/>
                <w:szCs w:val="20"/>
              </w:rPr>
              <w:t xml:space="preserve">One-measure countdown plays, scrolling grid renders, judgments flash live, results show counts plus a letter grade plus 1–3 plain-English suggestions referring to numbers from the run, and progress persists across page reload. Capture screenshots.</w:t>
            </w:r>
          </w:p>
        </w:tc>
      </w:tr>
    </w:tbl>
    <w:p>
      <w:r>
        <w:t xml:space="preserve"/>
      </w:r>
    </w:p>
    <w:p>
      <w:pPr>
        <w:spacing w:before="200"/>
      </w:pPr>
      <w:r>
        <w:rPr>
          <w:rFonts w:ascii="Arial" w:cs="Arial" w:eastAsia="Arial" w:hAnsi="Arial"/>
          <w:b/>
          <w:bCs/>
          <w:sz w:val="22"/>
          <w:szCs w:val="22"/>
        </w:rPr>
        <w:t xml:space="preserve">Coverage. </w:t>
      </w:r>
      <w:r>
        <w:rPr>
          <w:rFonts w:ascii="Arial" w:cs="Arial" w:eastAsia="Arial" w:hAnsi="Arial"/>
          <w:sz w:val="22"/>
          <w:szCs w:val="22"/>
        </w:rPr>
        <w:t xml:space="preserve">The three automated tests cover every algorithmic line in the metronome and listener modules. The two manual tests cover the parts of the system that depend on real audio hardware and a real microphone, which cannot be meaningfully unit-tested. Together the five tests hit all four primary functional requirements (metronome, mic detection, timing judgment, end-to-end run) plus the supporting requirements (UI state, persistence, suggestions).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2026-04-28T02:56:23.991Z</dcterms:created>
  <dcterms:modified xsi:type="dcterms:W3CDTF">2026-04-28T02:56:23.991Z</dcterms:modified>
</cp:coreProperties>
</file>

<file path=docProps/custom.xml><?xml version="1.0" encoding="utf-8"?>
<Properties xmlns="http://schemas.openxmlformats.org/officeDocument/2006/custom-properties" xmlns:vt="http://schemas.openxmlformats.org/officeDocument/2006/docPropsVTypes"/>
</file>