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DNS Records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Ongoing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Network, storage, and system administrators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ACCESS Operations manages the access-ci.org DNS domain and sub-domains. ACCESS projects, integrated resources, and central service may request DNS entries and DNS subdomains for their ACCESS integrated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 projects, integrated resources, and central service operators may request DNS entries or DNS subdomains by submitting a ticket using a Subject that starts with “ACCESS DNS entries for …”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On the ticket form please select “Not related to a resource” (since your request is to ACCESS Operations and not to a resource operator), select “No” for allocations related, and the “Operations Services”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04/01/2023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Kathy Benninger and Matthew Kollross, ACCESS Operations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03/15/2023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&lt;mm/dd/yyyy&gt; or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ccess-ci.org/open-a-t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