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Netsage Integration</w:t>
      </w:r>
      <w:r w:rsidDel="00000000" w:rsidR="00000000" w:rsidRPr="00000000">
        <w:rPr>
          <w:rtl w:val="0"/>
        </w:rPr>
        <w:t xml:space="preserve"> v1</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Planning</w:t>
        <w:br w:type="textWrapping"/>
        <w:t xml:space="preserve">Complete by phase: Operations</w:t>
        <w:br w:type="textWrapping"/>
        <w:t xml:space="preserve">RP role(s): {list RP role(s) involved in this task}</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