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Request RP or Site Staff Allocation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Coordination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Any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PI and co-PI(s), Resource integration coordinator(s)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RPs can request a site/staff allocation via ACCESS, to use for supporting and testing the ACCESS allocation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request a site/staff allocation for your site, follow the standard allocations request process (see below), noting in the “public overview” section of your submission that this is for a site/staff allocation. 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want to start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ACCESS Allocation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submitting a request, you will want to start with the overview of the different ACCESS opportunities.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across the menu bar in the middle of the page. Click on “Prepare requests”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“Prepare requests,” click on “Overview.”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look at all the different ACCESS opportunities and see which opportunity you would like to submit into.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READ THIS PAGE VERY CAREFULLY.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on this page will let you know about the credit limits and any additional information about things needed in the submission.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you have decided which opportunity to submit into, you can now work on your submission.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across the menu bar in the middle of the page. Click on “Manage allocations”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“Manage allocations,” click on “Submit a Request.”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now at the Available Opportunities Page.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Look for the Opportunity (Explore, Discover, Accelerate, Maximize) you would like to submit into.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see that Opportunity, click on the button that says “SUBMIT AN (Opportunity) ACCESS REQUEST”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wybse90rmfp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&lt;name&gt;, &lt;ACCESS project&gt;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&lt;mm/dd/yyyy&gt; or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locations.access-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