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ACCESS Affinity Groups</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Version 1 - 2022/09/26</w:t>
      </w:r>
    </w:p>
    <w:p w:rsidR="00000000" w:rsidDel="00000000" w:rsidP="00000000" w:rsidRDefault="00000000" w:rsidRPr="00000000" w14:paraId="00000003">
      <w:pPr>
        <w:pStyle w:val="Heading1"/>
        <w:rPr/>
      </w:pPr>
      <w:bookmarkStart w:colFirst="0" w:colLast="0" w:name="_1fob9te" w:id="2"/>
      <w:bookmarkEnd w:id="2"/>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ACCESS uses affinity groups to enable communications among members of communities.  Science gateway providers should join the science gateway affinity group and the affinity groups of any resource providers that the science gateway uses.</w:t>
      </w:r>
    </w:p>
    <w:p w:rsidR="00000000" w:rsidDel="00000000" w:rsidP="00000000" w:rsidRDefault="00000000" w:rsidRPr="00000000" w14:paraId="00000005">
      <w:pPr>
        <w:pStyle w:val="Heading1"/>
        <w:rPr/>
      </w:pPr>
      <w:bookmarkStart w:colFirst="0" w:colLast="0" w:name="_3znysh7" w:id="3"/>
      <w:bookmarkEnd w:id="3"/>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gateway should have completed registration. See “Science Gateway Registration”.</w:t>
      </w:r>
    </w:p>
    <w:p w:rsidR="00000000" w:rsidDel="00000000" w:rsidP="00000000" w:rsidRDefault="00000000" w:rsidRPr="00000000" w14:paraId="00000007">
      <w:pPr>
        <w:pStyle w:val="Heading1"/>
        <w:rPr/>
      </w:pPr>
      <w:bookmarkStart w:colFirst="0" w:colLast="0" w:name="_2et92p0" w:id="4"/>
      <w:bookmarkEnd w:id="4"/>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See </w:t>
      </w:r>
      <w:hyperlink r:id="rId6">
        <w:r w:rsidDel="00000000" w:rsidR="00000000" w:rsidRPr="00000000">
          <w:rPr>
            <w:color w:val="1155cc"/>
            <w:u w:val="single"/>
            <w:rtl w:val="0"/>
          </w:rPr>
          <w:t xml:space="preserve">https://support.access-ci.org/affinity-groups</w:t>
        </w:r>
      </w:hyperlink>
      <w:r w:rsidDel="00000000" w:rsidR="00000000" w:rsidRPr="00000000">
        <w:rPr>
          <w:rtl w:val="0"/>
        </w:rPr>
        <w:t xml:space="preserve"> for a listing of groups and steps for joining.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Science gateways may want to also create their own affinity group. </w:t>
      </w:r>
    </w:p>
    <w:p w:rsidR="00000000" w:rsidDel="00000000" w:rsidP="00000000" w:rsidRDefault="00000000" w:rsidRPr="00000000" w14:paraId="0000000B">
      <w:pPr>
        <w:pStyle w:val="Heading1"/>
        <w:rPr/>
      </w:pPr>
      <w:bookmarkStart w:colFirst="0" w:colLast="0" w:name="_tyjcwt" w:id="5"/>
      <w:bookmarkEnd w:id="5"/>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Resource providers use affinity groups to communicate with their users, including science gateway providers. The science gateway provider may wish to communicate this information to their users through their own communication channels.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ACCESS science gateway community members and ACCESS staff communicate using the science gateways affinity group.  This may for example include changes to policies, new services, and informal support.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resource providers may have additional communication channels.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affinity-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