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Science Gateway Community Accounts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Version 1 - 2022/09/26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Science gateways use community accounts to provide single accounts for all gateway users.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gateway provider must have completed registration. See “Science Gateway Registration.”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Effort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The science gateway provider should confirm that the community accounts are created and accessible.  It may take hours to days for accounts to be created after registration.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The science gateway provider may need to take additional, resource provider-specific steps to enable the account. This may include, for example, providing specific IP addresses or registering SSH keys that the science gateway will use when accessing the resource provider. 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Community accounts are UNIX accounts on ACCESS resource providers that can be used by a science gateway’s users through the science gateway’s user or programming interface. Science gateway providers request community accounts as part of the registration process. Accounts are created by ACCESS internal mechanisms.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