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Science Gateway Resource Requests</w:t>
      </w:r>
    </w:p>
    <w:p w:rsidR="00000000" w:rsidDel="00000000" w:rsidP="00000000" w:rsidRDefault="00000000" w:rsidRPr="00000000" w14:paraId="00000002">
      <w:pPr>
        <w:jc w:val="center"/>
        <w:rPr/>
      </w:pPr>
      <w:r w:rsidDel="00000000" w:rsidR="00000000" w:rsidRPr="00000000">
        <w:rPr>
          <w:rtl w:val="0"/>
        </w:rPr>
        <w:t xml:space="preserve">Version 1 - 2022/09/26</w:t>
      </w:r>
    </w:p>
    <w:p w:rsidR="00000000" w:rsidDel="00000000" w:rsidP="00000000" w:rsidRDefault="00000000" w:rsidRPr="00000000" w14:paraId="00000003">
      <w:pPr>
        <w:pStyle w:val="Heading2"/>
        <w:rPr/>
      </w:pPr>
      <w:bookmarkStart w:colFirst="0" w:colLast="0" w:name="_1fob9te" w:id="1"/>
      <w:bookmarkEnd w:id="1"/>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Science gateway operators use their allocations to request computing and storage from ACCESS resource providers that support science gateways. </w:t>
      </w:r>
    </w:p>
    <w:p w:rsidR="00000000" w:rsidDel="00000000" w:rsidP="00000000" w:rsidRDefault="00000000" w:rsidRPr="00000000" w14:paraId="00000005">
      <w:pPr>
        <w:pStyle w:val="Heading2"/>
        <w:rPr/>
      </w:pPr>
      <w:bookmarkStart w:colFirst="0" w:colLast="0" w:name="_3znysh7" w:id="2"/>
      <w:bookmarkEnd w:id="2"/>
      <w:r w:rsidDel="00000000" w:rsidR="00000000" w:rsidRPr="00000000">
        <w:rPr>
          <w:rtl w:val="0"/>
        </w:rPr>
        <w:t xml:space="preserve">Prerequisites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 science gateway operator must have an awarded allocation. See “Science Gateway Allocation Application”. Depending on the size of the request, this could take days to weeks to complete.</w:t>
      </w:r>
    </w:p>
    <w:p w:rsidR="00000000" w:rsidDel="00000000" w:rsidP="00000000" w:rsidRDefault="00000000" w:rsidRPr="00000000" w14:paraId="00000007">
      <w:pPr>
        <w:pStyle w:val="Heading2"/>
        <w:rPr/>
      </w:pPr>
      <w:bookmarkStart w:colFirst="0" w:colLast="0" w:name="_2et92p0" w:id="3"/>
      <w:bookmarkEnd w:id="3"/>
      <w:r w:rsidDel="00000000" w:rsidR="00000000" w:rsidRPr="00000000">
        <w:rPr>
          <w:rtl w:val="0"/>
        </w:rPr>
        <w:t xml:space="preserve">Effort</w:t>
      </w:r>
    </w:p>
    <w:p w:rsidR="00000000" w:rsidDel="00000000" w:rsidP="00000000" w:rsidRDefault="00000000" w:rsidRPr="00000000" w14:paraId="00000008">
      <w:pPr>
        <w:ind w:left="0" w:firstLine="0"/>
        <w:rPr/>
      </w:pPr>
      <w:r w:rsidDel="00000000" w:rsidR="00000000" w:rsidRPr="00000000">
        <w:rPr>
          <w:rtl w:val="0"/>
        </w:rPr>
        <w:t xml:space="preserve">The gateway provider uses the ACCESS allocation request system to transfer ACCESS credits to particular resource providers.  See </w:t>
      </w:r>
      <w:hyperlink r:id="rId6">
        <w:r w:rsidDel="00000000" w:rsidR="00000000" w:rsidRPr="00000000">
          <w:rPr>
            <w:color w:val="1155cc"/>
            <w:u w:val="single"/>
            <w:rtl w:val="0"/>
          </w:rPr>
          <w:t xml:space="preserve">https://allocations.access-ci.org/</w:t>
        </w:r>
      </w:hyperlink>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exchange request may take days or longer before approved by the resource provider.</w:t>
      </w:r>
    </w:p>
    <w:p w:rsidR="00000000" w:rsidDel="00000000" w:rsidP="00000000" w:rsidRDefault="00000000" w:rsidRPr="00000000" w14:paraId="0000000B">
      <w:pPr>
        <w:pStyle w:val="Heading2"/>
        <w:rPr/>
      </w:pPr>
      <w:bookmarkStart w:colFirst="0" w:colLast="0" w:name="_tyjcwt" w:id="4"/>
      <w:bookmarkEnd w:id="4"/>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The science gateway provider uses standard ACCESS procedures to convert ACCESS allocation tokens to computing time or storage on target resources.  The gateway provider should make sure that the resource provider supports science gateway usage, which should be included in the resource description.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locations.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