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3E28" w14:textId="26A354AB" w:rsidR="008B16A8" w:rsidRDefault="00FA746F">
      <w:r>
        <w:rPr>
          <w:noProof/>
        </w:rPr>
        <w:drawing>
          <wp:inline distT="0" distB="0" distL="0" distR="0" wp14:anchorId="62F3EB60" wp14:editId="49A80E47">
            <wp:extent cx="5727700" cy="6362700"/>
            <wp:effectExtent l="0" t="0" r="0" b="0"/>
            <wp:docPr id="204953657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36573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50A2" w14:textId="77777777" w:rsidR="00FA746F" w:rsidRPr="00FA746F" w:rsidRDefault="00FA746F" w:rsidP="00FA746F">
      <w:pPr>
        <w:rPr>
          <w:rFonts w:ascii="Times New Roman" w:hAnsi="Times New Roman" w:cs="Times New Roman"/>
          <w:color w:val="000000" w:themeColor="text1"/>
          <w:highlight w:val="white"/>
          <w:lang w:val="en-US"/>
        </w:rPr>
      </w:pPr>
      <w:r w:rsidRPr="00FA746F">
        <w:rPr>
          <w:rFonts w:ascii="Times New Roman" w:hAnsi="Times New Roman" w:cs="Times New Roman"/>
          <w:b/>
          <w:bCs/>
          <w:color w:val="000000" w:themeColor="text1"/>
          <w:highlight w:val="white"/>
          <w:lang w:val="en-US"/>
        </w:rPr>
        <w:t>Figure O1. Comparison of GSS parcels created using different thresholding of the individual subjects’ data.</w:t>
      </w:r>
      <w:r w:rsidRPr="00FA746F">
        <w:rPr>
          <w:rFonts w:ascii="Times New Roman" w:hAnsi="Times New Roman" w:cs="Times New Roman"/>
          <w:color w:val="000000" w:themeColor="text1"/>
          <w:highlight w:val="white"/>
          <w:lang w:val="en-US"/>
        </w:rPr>
        <w:t xml:space="preserve"> Panel (A) illustrates the comparison between parcels obtained from individual maps thresholded at top 10% (red fill) and top 20% (white outlines). Panel (B) illustrates the comparison between parcels obtained from individual maps thresholded at p&lt;.001, uncorrected, and top 20%. Spatial correlation shown in the bottom of the panels represents the correlation between the probabilistic overlap map, representing the proportion of subjects showing supra-threshold responses </w:t>
      </w:r>
      <w:proofErr w:type="gramStart"/>
      <w:r w:rsidRPr="00FA746F">
        <w:rPr>
          <w:rFonts w:ascii="Times New Roman" w:hAnsi="Times New Roman" w:cs="Times New Roman"/>
          <w:color w:val="000000" w:themeColor="text1"/>
          <w:highlight w:val="white"/>
          <w:lang w:val="en-US"/>
        </w:rPr>
        <w:t>in a given</w:t>
      </w:r>
      <w:proofErr w:type="gramEnd"/>
      <w:r w:rsidRPr="00FA746F">
        <w:rPr>
          <w:rFonts w:ascii="Times New Roman" w:hAnsi="Times New Roman" w:cs="Times New Roman"/>
          <w:color w:val="000000" w:themeColor="text1"/>
          <w:highlight w:val="white"/>
          <w:lang w:val="en-US"/>
        </w:rPr>
        <w:t xml:space="preserve"> voxel, for the two thresholds.</w:t>
      </w:r>
    </w:p>
    <w:p w14:paraId="7D11008E" w14:textId="77777777" w:rsidR="00FA746F" w:rsidRPr="00FA746F" w:rsidRDefault="00FA746F">
      <w:pPr>
        <w:rPr>
          <w:lang w:val="en-US"/>
        </w:rPr>
      </w:pPr>
    </w:p>
    <w:sectPr w:rsidR="00FA746F" w:rsidRPr="00FA7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A8"/>
    <w:rsid w:val="008B16A8"/>
    <w:rsid w:val="00CB18A1"/>
    <w:rsid w:val="00FA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34CD13"/>
  <w15:chartTrackingRefBased/>
  <w15:docId w15:val="{16BB481C-5E5E-BE45-81E0-8B649663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Wolna</dc:creator>
  <cp:keywords/>
  <dc:description/>
  <cp:lastModifiedBy>Agata Wolna</cp:lastModifiedBy>
  <cp:revision>2</cp:revision>
  <dcterms:created xsi:type="dcterms:W3CDTF">2025-09-13T19:12:00Z</dcterms:created>
  <dcterms:modified xsi:type="dcterms:W3CDTF">2025-09-13T19:13:00Z</dcterms:modified>
</cp:coreProperties>
</file>