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E8F0" w14:textId="77777777" w:rsidR="00AF591E" w:rsidRPr="00AF591E" w:rsidRDefault="00AF591E" w:rsidP="00AF591E">
      <w:r w:rsidRPr="00AF591E">
        <w:rPr>
          <w:b/>
          <w:bCs/>
        </w:rPr>
        <w:t>Demystifying AI Governance: A Practical Framework to Address "Black Box" Anxiety and Build Client Trust</w:t>
      </w:r>
    </w:p>
    <w:p w14:paraId="26393534" w14:textId="77777777" w:rsidR="00AF591E" w:rsidRPr="00AF591E" w:rsidRDefault="00AF591E" w:rsidP="00AF591E">
      <w:r w:rsidRPr="00AF591E">
        <w:rPr>
          <w:b/>
          <w:bCs/>
        </w:rPr>
        <w:t>Introduction: Navigating the "Black Box" Anxiety</w:t>
      </w:r>
      <w:r w:rsidRPr="00AF591E">
        <w:t xml:space="preserve"> The transition to AI-powered services is an exciting milestone, but it quickly reveals a critical hurdle: the "black box" anxiety. As I have been leading the research and internal discussions for integrating an AI document processing solution into our software services, I have observed a consistent pattern. Whether we are pitching these new capabilities to enterprise clients or acting as "customer-zero" by deploying them internally, the exact same rigorous questions regarding AI governance and trustworthiness keep surfacing. </w:t>
      </w:r>
    </w:p>
    <w:p w14:paraId="7BBAC2A9" w14:textId="77777777" w:rsidR="00AF591E" w:rsidRPr="00AF591E" w:rsidRDefault="00AF591E" w:rsidP="00AF591E">
      <w:r w:rsidRPr="00AF591E">
        <w:t xml:space="preserve">This anxiety stems not just from moving from deterministic systems to probabilistic ones, but from a widespread, industry-level unfamiliarity with AI risk control. Many B2B service teams know they have internal control measures in place, but they lack a structured way to systematically prove their reliability to strict clients. </w:t>
      </w:r>
    </w:p>
    <w:p w14:paraId="46CAC521" w14:textId="77777777" w:rsidR="00AF591E" w:rsidRPr="00AF591E" w:rsidRDefault="00AF591E" w:rsidP="00AF591E">
      <w:r w:rsidRPr="00AF591E">
        <w:t xml:space="preserve">To address these very real challenges, I recently hosted an internal sharing and discussion session to outline our overall direction for navigating this entirely new territory. It became clear that these practical insights—synthesized from actual client concerns and our own governance efforts—could be valuable beyond our internal meetings. I am sharing this working framework not as a flawless, perfect solution, but as a practical reflection of what we are learning. If you are struggling to structure these conversations and address client anxieties, I hope these ongoing learnings can help you navigate those strict audits. </w:t>
      </w:r>
    </w:p>
    <w:p w14:paraId="624F16DD" w14:textId="77777777" w:rsidR="00AF591E" w:rsidRPr="00AF591E" w:rsidRDefault="00AF591E" w:rsidP="00AF591E">
      <w:r w:rsidRPr="00AF591E">
        <w:rPr>
          <w:b/>
          <w:bCs/>
        </w:rPr>
        <w:t>Understanding Client Fears: The Travel Analogy</w:t>
      </w:r>
      <w:r w:rsidRPr="00AF591E">
        <w:t xml:space="preserve"> What exactly are enterprise clients looking for when they hand over a massive risk assessment form? It helps to view their concerns through the lens of planning a trip; broadly speaking, they are trying to prevent a few specific scenarios: </w:t>
      </w:r>
    </w:p>
    <w:p w14:paraId="0F2D16B9" w14:textId="77777777" w:rsidR="00AF591E" w:rsidRPr="00AF591E" w:rsidRDefault="00AF591E" w:rsidP="00AF591E">
      <w:r w:rsidRPr="00AF591E">
        <w:t>DOCX+ 1</w:t>
      </w:r>
    </w:p>
    <w:p w14:paraId="4FCD630A" w14:textId="77777777" w:rsidR="00AF591E" w:rsidRPr="00AF591E" w:rsidRDefault="00AF591E" w:rsidP="00AF591E">
      <w:pPr>
        <w:numPr>
          <w:ilvl w:val="0"/>
          <w:numId w:val="1"/>
        </w:numPr>
      </w:pPr>
      <w:r w:rsidRPr="00AF591E">
        <w:t xml:space="preserve">Data leakage, whether through internal failures or external cyberattacks. </w:t>
      </w:r>
    </w:p>
    <w:p w14:paraId="155D5A71" w14:textId="77777777" w:rsidR="00AF591E" w:rsidRPr="00AF591E" w:rsidRDefault="00AF591E" w:rsidP="00AF591E">
      <w:r w:rsidRPr="00AF591E">
        <w:t>DOCX</w:t>
      </w:r>
    </w:p>
    <w:p w14:paraId="3963526E" w14:textId="77777777" w:rsidR="00AF591E" w:rsidRPr="00AF591E" w:rsidRDefault="00AF591E" w:rsidP="00AF591E">
      <w:pPr>
        <w:numPr>
          <w:ilvl w:val="0"/>
          <w:numId w:val="1"/>
        </w:numPr>
      </w:pPr>
      <w:r w:rsidRPr="00AF591E">
        <w:t xml:space="preserve">Service degradation or complete outages that paralyze their own operations. </w:t>
      </w:r>
    </w:p>
    <w:p w14:paraId="325E1456" w14:textId="77777777" w:rsidR="00AF591E" w:rsidRPr="00AF591E" w:rsidRDefault="00AF591E" w:rsidP="00AF591E">
      <w:r w:rsidRPr="00AF591E">
        <w:t>DOCX</w:t>
      </w:r>
    </w:p>
    <w:p w14:paraId="5E3F00EE" w14:textId="77777777" w:rsidR="00AF591E" w:rsidRPr="00AF591E" w:rsidRDefault="00AF591E" w:rsidP="00AF591E">
      <w:pPr>
        <w:numPr>
          <w:ilvl w:val="0"/>
          <w:numId w:val="1"/>
        </w:numPr>
      </w:pPr>
      <w:r w:rsidRPr="00AF591E">
        <w:t xml:space="preserve">Bias or unfairness in the service's outputs. </w:t>
      </w:r>
    </w:p>
    <w:p w14:paraId="32139490" w14:textId="77777777" w:rsidR="00AF591E" w:rsidRPr="00AF591E" w:rsidRDefault="00AF591E" w:rsidP="00AF591E">
      <w:r w:rsidRPr="00AF591E">
        <w:t>DOCX</w:t>
      </w:r>
    </w:p>
    <w:p w14:paraId="34371395" w14:textId="77777777" w:rsidR="00AF591E" w:rsidRPr="00AF591E" w:rsidRDefault="00AF591E" w:rsidP="00AF591E">
      <w:pPr>
        <w:numPr>
          <w:ilvl w:val="0"/>
          <w:numId w:val="1"/>
        </w:numPr>
      </w:pPr>
      <w:r w:rsidRPr="00AF591E">
        <w:t xml:space="preserve">The service </w:t>
      </w:r>
      <w:proofErr w:type="gramStart"/>
      <w:r w:rsidRPr="00AF591E">
        <w:t>being</w:t>
      </w:r>
      <w:proofErr w:type="gramEnd"/>
      <w:r w:rsidRPr="00AF591E">
        <w:t xml:space="preserve"> weaponized or abused for scams and generating fake documents. </w:t>
      </w:r>
    </w:p>
    <w:p w14:paraId="3FF7089B" w14:textId="77777777" w:rsidR="00AF591E" w:rsidRPr="00AF591E" w:rsidRDefault="00AF591E" w:rsidP="00AF591E">
      <w:r w:rsidRPr="00AF591E">
        <w:t>DOCX</w:t>
      </w:r>
    </w:p>
    <w:p w14:paraId="0311F51C" w14:textId="77777777" w:rsidR="00AF591E" w:rsidRPr="00AF591E" w:rsidRDefault="00AF591E" w:rsidP="00AF591E">
      <w:pPr>
        <w:numPr>
          <w:ilvl w:val="0"/>
          <w:numId w:val="1"/>
        </w:numPr>
      </w:pPr>
      <w:r w:rsidRPr="00AF591E">
        <w:lastRenderedPageBreak/>
        <w:t xml:space="preserve">The system suddenly </w:t>
      </w:r>
      <w:proofErr w:type="gramStart"/>
      <w:r w:rsidRPr="00AF591E">
        <w:t>becoming</w:t>
      </w:r>
      <w:proofErr w:type="gramEnd"/>
      <w:r w:rsidRPr="00AF591E">
        <w:t xml:space="preserve"> non-compliant or unsafe due to shifting regulations, policies, or environmental factors. </w:t>
      </w:r>
    </w:p>
    <w:p w14:paraId="62F4DBA2" w14:textId="77777777" w:rsidR="00AF591E" w:rsidRPr="00AF591E" w:rsidRDefault="00AF591E" w:rsidP="00AF591E">
      <w:r w:rsidRPr="00AF591E">
        <w:t>DOCX</w:t>
      </w:r>
    </w:p>
    <w:p w14:paraId="669AB2FD" w14:textId="77777777" w:rsidR="00AF591E" w:rsidRPr="00AF591E" w:rsidRDefault="00AF591E" w:rsidP="00AF591E">
      <w:r w:rsidRPr="00AF591E">
        <w:t xml:space="preserve">For each of these risks, clients expect a clear breakdown: </w:t>
      </w:r>
    </w:p>
    <w:p w14:paraId="57D17C49" w14:textId="77777777" w:rsidR="00AF591E" w:rsidRPr="00AF591E" w:rsidRDefault="00AF591E" w:rsidP="00AF591E">
      <w:r w:rsidRPr="00AF591E">
        <w:t>DOCX</w:t>
      </w:r>
    </w:p>
    <w:p w14:paraId="1A99D756" w14:textId="77777777" w:rsidR="00AF591E" w:rsidRPr="00AF591E" w:rsidRDefault="00AF591E" w:rsidP="00AF591E">
      <w:pPr>
        <w:numPr>
          <w:ilvl w:val="0"/>
          <w:numId w:val="2"/>
        </w:numPr>
      </w:pPr>
      <w:r w:rsidRPr="00AF591E">
        <w:rPr>
          <w:b/>
          <w:bCs/>
        </w:rPr>
        <w:t>Prevention:</w:t>
      </w:r>
      <w:r w:rsidRPr="00AF591E">
        <w:t xml:space="preserve"> What measures are in place? </w:t>
      </w:r>
    </w:p>
    <w:p w14:paraId="1AE6B76A" w14:textId="77777777" w:rsidR="00AF591E" w:rsidRPr="00AF591E" w:rsidRDefault="00AF591E" w:rsidP="00AF591E">
      <w:r w:rsidRPr="00AF591E">
        <w:t>DOCX</w:t>
      </w:r>
    </w:p>
    <w:p w14:paraId="201727B0" w14:textId="77777777" w:rsidR="00AF591E" w:rsidRPr="00AF591E" w:rsidRDefault="00AF591E" w:rsidP="00AF591E">
      <w:pPr>
        <w:numPr>
          <w:ilvl w:val="0"/>
          <w:numId w:val="2"/>
        </w:numPr>
      </w:pPr>
      <w:r w:rsidRPr="00AF591E">
        <w:rPr>
          <w:b/>
          <w:bCs/>
        </w:rPr>
        <w:t>Response:</w:t>
      </w:r>
      <w:r w:rsidRPr="00AF591E">
        <w:t xml:space="preserve"> What constitutes an incident, how is it handled, and how is it monitored? </w:t>
      </w:r>
    </w:p>
    <w:p w14:paraId="335A5E09" w14:textId="77777777" w:rsidR="00AF591E" w:rsidRPr="00AF591E" w:rsidRDefault="00AF591E" w:rsidP="00AF591E">
      <w:r w:rsidRPr="00AF591E">
        <w:t>DOCX</w:t>
      </w:r>
    </w:p>
    <w:p w14:paraId="2CD6439B" w14:textId="77777777" w:rsidR="00AF591E" w:rsidRPr="00AF591E" w:rsidRDefault="00AF591E" w:rsidP="00AF591E">
      <w:pPr>
        <w:numPr>
          <w:ilvl w:val="0"/>
          <w:numId w:val="2"/>
        </w:numPr>
      </w:pPr>
      <w:r w:rsidRPr="00AF591E">
        <w:rPr>
          <w:b/>
          <w:bCs/>
        </w:rPr>
        <w:t>Supervision:</w:t>
      </w:r>
      <w:r w:rsidRPr="00AF591E">
        <w:t xml:space="preserve"> What triggers a re-evaluation of these measures? </w:t>
      </w:r>
    </w:p>
    <w:p w14:paraId="32EC5DF6" w14:textId="77777777" w:rsidR="00AF591E" w:rsidRPr="00AF591E" w:rsidRDefault="00AF591E" w:rsidP="00AF591E">
      <w:r w:rsidRPr="00AF591E">
        <w:t>DOCX</w:t>
      </w:r>
    </w:p>
    <w:p w14:paraId="30DD793D" w14:textId="77777777" w:rsidR="00AF591E" w:rsidRPr="00AF591E" w:rsidRDefault="00AF591E" w:rsidP="00AF591E">
      <w:pPr>
        <w:numPr>
          <w:ilvl w:val="0"/>
          <w:numId w:val="2"/>
        </w:numPr>
      </w:pPr>
      <w:r w:rsidRPr="00AF591E">
        <w:rPr>
          <w:b/>
          <w:bCs/>
        </w:rPr>
        <w:t>Accountability:</w:t>
      </w:r>
      <w:r w:rsidRPr="00AF591E">
        <w:t xml:space="preserve"> Who is explicitly responsible for decision-making? </w:t>
      </w:r>
    </w:p>
    <w:p w14:paraId="3B80EEF4" w14:textId="77777777" w:rsidR="00AF591E" w:rsidRPr="00AF591E" w:rsidRDefault="00AF591E" w:rsidP="00AF591E">
      <w:r w:rsidRPr="00AF591E">
        <w:t>DOCX</w:t>
      </w:r>
    </w:p>
    <w:p w14:paraId="5C5BDFA7" w14:textId="77777777" w:rsidR="00AF591E" w:rsidRPr="00AF591E" w:rsidRDefault="00AF591E" w:rsidP="00AF591E">
      <w:r w:rsidRPr="00AF591E">
        <w:t xml:space="preserve">Furthermore, they want to dig into the underlying logic: </w:t>
      </w:r>
    </w:p>
    <w:p w14:paraId="4BA001C7" w14:textId="77777777" w:rsidR="00AF591E" w:rsidRPr="00AF591E" w:rsidRDefault="00AF591E" w:rsidP="00AF591E">
      <w:r w:rsidRPr="00AF591E">
        <w:t>DOCX</w:t>
      </w:r>
    </w:p>
    <w:p w14:paraId="54710FA6" w14:textId="77777777" w:rsidR="00AF591E" w:rsidRPr="00AF591E" w:rsidRDefault="00AF591E" w:rsidP="00AF591E">
      <w:pPr>
        <w:numPr>
          <w:ilvl w:val="0"/>
          <w:numId w:val="3"/>
        </w:numPr>
      </w:pPr>
      <w:r w:rsidRPr="00AF591E">
        <w:t xml:space="preserve">Why were specific measures chosen, and when are they reviewed? </w:t>
      </w:r>
    </w:p>
    <w:p w14:paraId="107243C6" w14:textId="77777777" w:rsidR="00AF591E" w:rsidRPr="00AF591E" w:rsidRDefault="00AF591E" w:rsidP="00AF591E">
      <w:r w:rsidRPr="00AF591E">
        <w:t>DOCX</w:t>
      </w:r>
    </w:p>
    <w:p w14:paraId="0A9ECF0F" w14:textId="77777777" w:rsidR="00AF591E" w:rsidRPr="00AF591E" w:rsidRDefault="00AF591E" w:rsidP="00AF591E">
      <w:pPr>
        <w:numPr>
          <w:ilvl w:val="0"/>
          <w:numId w:val="3"/>
        </w:numPr>
      </w:pPr>
      <w:r w:rsidRPr="00AF591E">
        <w:t xml:space="preserve">Are all procedures and responsible roles officially standardized and documented? </w:t>
      </w:r>
    </w:p>
    <w:p w14:paraId="097A3AE9" w14:textId="77777777" w:rsidR="00AF591E" w:rsidRPr="00AF591E" w:rsidRDefault="00AF591E" w:rsidP="00AF591E">
      <w:r w:rsidRPr="00AF591E">
        <w:t>DOCX</w:t>
      </w:r>
    </w:p>
    <w:p w14:paraId="3132A28F" w14:textId="77777777" w:rsidR="00AF591E" w:rsidRPr="00AF591E" w:rsidRDefault="00AF591E" w:rsidP="00AF591E">
      <w:pPr>
        <w:numPr>
          <w:ilvl w:val="0"/>
          <w:numId w:val="3"/>
        </w:numPr>
      </w:pPr>
      <w:r w:rsidRPr="00AF591E">
        <w:t xml:space="preserve">Do the response protocols align with recognized industry standards? </w:t>
      </w:r>
    </w:p>
    <w:p w14:paraId="7E931E57" w14:textId="77777777" w:rsidR="00AF591E" w:rsidRPr="00AF591E" w:rsidRDefault="00AF591E" w:rsidP="00AF591E">
      <w:r w:rsidRPr="00AF591E">
        <w:t>DOCX</w:t>
      </w:r>
    </w:p>
    <w:p w14:paraId="6CFFDA00" w14:textId="77777777" w:rsidR="00AF591E" w:rsidRPr="00AF591E" w:rsidRDefault="00AF591E" w:rsidP="00AF591E">
      <w:pPr>
        <w:numPr>
          <w:ilvl w:val="0"/>
          <w:numId w:val="3"/>
        </w:numPr>
      </w:pPr>
      <w:r w:rsidRPr="00AF591E">
        <w:t xml:space="preserve">Can they access comprehensive documentation, such as model inventories, to fully understand the service? </w:t>
      </w:r>
    </w:p>
    <w:p w14:paraId="2E5B2F82" w14:textId="77777777" w:rsidR="00AF591E" w:rsidRPr="00AF591E" w:rsidRDefault="00AF591E" w:rsidP="00AF591E">
      <w:r w:rsidRPr="00AF591E">
        <w:t>DOCX</w:t>
      </w:r>
    </w:p>
    <w:p w14:paraId="7B3A4B4A" w14:textId="77777777" w:rsidR="00AF591E" w:rsidRPr="00AF591E" w:rsidRDefault="00AF591E" w:rsidP="00AF591E">
      <w:pPr>
        <w:numPr>
          <w:ilvl w:val="0"/>
          <w:numId w:val="3"/>
        </w:numPr>
      </w:pPr>
      <w:r w:rsidRPr="00AF591E">
        <w:t xml:space="preserve">Are the designated owners </w:t>
      </w:r>
      <w:proofErr w:type="gramStart"/>
      <w:r w:rsidRPr="00AF591E">
        <w:t>actually equipped</w:t>
      </w:r>
      <w:proofErr w:type="gramEnd"/>
      <w:r w:rsidRPr="00AF591E">
        <w:t xml:space="preserve"> to handle these issues? </w:t>
      </w:r>
    </w:p>
    <w:p w14:paraId="06675783" w14:textId="77777777" w:rsidR="00AF591E" w:rsidRPr="00AF591E" w:rsidRDefault="00AF591E" w:rsidP="00AF591E">
      <w:r w:rsidRPr="00AF591E">
        <w:t>DOCX</w:t>
      </w:r>
    </w:p>
    <w:p w14:paraId="4594F95B" w14:textId="77777777" w:rsidR="00AF591E" w:rsidRPr="00AF591E" w:rsidRDefault="00AF591E" w:rsidP="00AF591E">
      <w:r w:rsidRPr="00AF591E">
        <w:lastRenderedPageBreak/>
        <w:t xml:space="preserve">To address these concerns, an AI service provider must continuously focus on two intertwined tasks: </w:t>
      </w:r>
    </w:p>
    <w:p w14:paraId="7F2EFDCF" w14:textId="77777777" w:rsidR="00AF591E" w:rsidRPr="00AF591E" w:rsidRDefault="00AF591E" w:rsidP="00AF591E">
      <w:r w:rsidRPr="00AF591E">
        <w:t>DOCX</w:t>
      </w:r>
    </w:p>
    <w:p w14:paraId="48CBE1AA" w14:textId="77777777" w:rsidR="00AF591E" w:rsidRPr="00AF591E" w:rsidRDefault="00AF591E" w:rsidP="00AF591E">
      <w:pPr>
        <w:numPr>
          <w:ilvl w:val="0"/>
          <w:numId w:val="4"/>
        </w:numPr>
      </w:pPr>
      <w:r w:rsidRPr="00AF591E">
        <w:t xml:space="preserve">Continuously evaluating internal gaps in governance and defense mechanisms (What is </w:t>
      </w:r>
      <w:proofErr w:type="gramStart"/>
      <w:r w:rsidRPr="00AF591E">
        <w:t>actually being</w:t>
      </w:r>
      <w:proofErr w:type="gramEnd"/>
      <w:r w:rsidRPr="00AF591E">
        <w:t xml:space="preserve"> done). </w:t>
      </w:r>
    </w:p>
    <w:p w14:paraId="509D0D26" w14:textId="77777777" w:rsidR="00AF591E" w:rsidRPr="00AF591E" w:rsidRDefault="00AF591E" w:rsidP="00AF591E">
      <w:r w:rsidRPr="00AF591E">
        <w:t>DOCX</w:t>
      </w:r>
    </w:p>
    <w:p w14:paraId="340E5534" w14:textId="77777777" w:rsidR="00AF591E" w:rsidRPr="00AF591E" w:rsidRDefault="00AF591E" w:rsidP="00AF591E">
      <w:pPr>
        <w:numPr>
          <w:ilvl w:val="0"/>
          <w:numId w:val="4"/>
        </w:numPr>
      </w:pPr>
      <w:r w:rsidRPr="00AF591E">
        <w:t xml:space="preserve">Developing a systematic way to address client doubts and build trust (How questions are answered). You can only confidently answer external audits when you have implemented standardized and documented mechanisms internally. </w:t>
      </w:r>
    </w:p>
    <w:p w14:paraId="24E78309" w14:textId="77777777" w:rsidR="00AF591E" w:rsidRPr="00AF591E" w:rsidRDefault="00AF591E" w:rsidP="00AF591E">
      <w:r w:rsidRPr="00AF591E">
        <w:t>DOCX+ 1</w:t>
      </w:r>
    </w:p>
    <w:p w14:paraId="609AAD42" w14:textId="77777777" w:rsidR="00AF591E" w:rsidRPr="00AF591E" w:rsidRDefault="00AF591E" w:rsidP="00AF591E">
      <w:r w:rsidRPr="00AF591E">
        <w:rPr>
          <w:b/>
          <w:bCs/>
        </w:rPr>
        <w:t>Part 1: As an AI Provider, What Should the Internal Focus Be?</w:t>
      </w:r>
      <w:r w:rsidRPr="00AF591E">
        <w:t xml:space="preserve"> Addressing AI-specific risks requires moving beyond traditional cybersecurity to governing the behavior of the AI model itself. This involves building three layers of defense, all united by a core principle: Standardization and Documentation. </w:t>
      </w:r>
    </w:p>
    <w:p w14:paraId="28F5B7A3" w14:textId="77777777" w:rsidR="00AF591E" w:rsidRPr="00AF591E" w:rsidRDefault="00AF591E" w:rsidP="00AF591E">
      <w:r w:rsidRPr="00AF591E">
        <w:t>DOCX+ 1</w:t>
      </w:r>
    </w:p>
    <w:p w14:paraId="7592A8F3" w14:textId="77777777" w:rsidR="00AF591E" w:rsidRPr="00AF591E" w:rsidRDefault="00AF591E" w:rsidP="00AF591E">
      <w:r w:rsidRPr="00AF591E">
        <w:rPr>
          <w:b/>
          <w:bCs/>
        </w:rPr>
        <w:t>1. Establishing a "Governance Framework"</w:t>
      </w:r>
      <w:r w:rsidRPr="00AF591E">
        <w:t xml:space="preserve"> Think of this as a detailed travel itinerary—its purpose is </w:t>
      </w:r>
      <w:proofErr w:type="gramStart"/>
      <w:r w:rsidRPr="00AF591E">
        <w:t>to ensure</w:t>
      </w:r>
      <w:proofErr w:type="gramEnd"/>
      <w:r w:rsidRPr="00AF591E">
        <w:t xml:space="preserve"> everyone knows the rules and exactly who to contact during an emergency. Essential documented components include: </w:t>
      </w:r>
    </w:p>
    <w:p w14:paraId="16687016" w14:textId="77777777" w:rsidR="00AF591E" w:rsidRPr="00AF591E" w:rsidRDefault="00AF591E" w:rsidP="00AF591E">
      <w:r w:rsidRPr="00AF591E">
        <w:t>DOCX</w:t>
      </w:r>
    </w:p>
    <w:p w14:paraId="3FA0AE92" w14:textId="77777777" w:rsidR="00AF591E" w:rsidRPr="00AF591E" w:rsidRDefault="00AF591E" w:rsidP="00AF591E">
      <w:pPr>
        <w:numPr>
          <w:ilvl w:val="0"/>
          <w:numId w:val="5"/>
        </w:numPr>
      </w:pPr>
      <w:r w:rsidRPr="00AF591E">
        <w:rPr>
          <w:b/>
          <w:bCs/>
        </w:rPr>
        <w:t>Architecture &amp; Policy:</w:t>
      </w:r>
      <w:r w:rsidRPr="00AF591E">
        <w:t xml:space="preserve"> An official document detailing AI management rules, permissible actions, and approval workflows. </w:t>
      </w:r>
    </w:p>
    <w:p w14:paraId="1255E1D2" w14:textId="77777777" w:rsidR="00AF591E" w:rsidRPr="00AF591E" w:rsidRDefault="00AF591E" w:rsidP="00AF591E">
      <w:r w:rsidRPr="00AF591E">
        <w:t>DOCX</w:t>
      </w:r>
    </w:p>
    <w:p w14:paraId="03C4F369" w14:textId="77777777" w:rsidR="00AF591E" w:rsidRPr="00AF591E" w:rsidRDefault="00AF591E" w:rsidP="00AF591E">
      <w:pPr>
        <w:numPr>
          <w:ilvl w:val="0"/>
          <w:numId w:val="5"/>
        </w:numPr>
      </w:pPr>
      <w:r w:rsidRPr="00AF591E">
        <w:rPr>
          <w:b/>
          <w:bCs/>
        </w:rPr>
        <w:t>Roles &amp; Responsibilities:</w:t>
      </w:r>
      <w:r w:rsidRPr="00AF591E">
        <w:t xml:space="preserve"> A standardized RACI matrix defining roles like the AI System Owner, CISO, and DPO. </w:t>
      </w:r>
    </w:p>
    <w:p w14:paraId="35BAA683" w14:textId="77777777" w:rsidR="00AF591E" w:rsidRPr="00AF591E" w:rsidRDefault="00AF591E" w:rsidP="00AF591E">
      <w:r w:rsidRPr="00AF591E">
        <w:t>DOCX</w:t>
      </w:r>
    </w:p>
    <w:p w14:paraId="5492BF3D" w14:textId="77777777" w:rsidR="00AF591E" w:rsidRPr="00AF591E" w:rsidRDefault="00AF591E" w:rsidP="00AF591E">
      <w:pPr>
        <w:numPr>
          <w:ilvl w:val="0"/>
          <w:numId w:val="5"/>
        </w:numPr>
      </w:pPr>
      <w:r w:rsidRPr="00AF591E">
        <w:rPr>
          <w:b/>
          <w:bCs/>
        </w:rPr>
        <w:t>Competency &amp; Audit:</w:t>
      </w:r>
      <w:r w:rsidRPr="00AF591E">
        <w:t xml:space="preserve"> Ensuring responsible parties have the right expertise and conducting cross-departmental reviews to verify the mechanisms. </w:t>
      </w:r>
    </w:p>
    <w:p w14:paraId="1CBF6439" w14:textId="77777777" w:rsidR="00AF591E" w:rsidRPr="00AF591E" w:rsidRDefault="00AF591E" w:rsidP="00AF591E">
      <w:r w:rsidRPr="00AF591E">
        <w:t>DOCX</w:t>
      </w:r>
    </w:p>
    <w:p w14:paraId="7574A91C" w14:textId="77777777" w:rsidR="00AF591E" w:rsidRPr="00AF591E" w:rsidRDefault="00AF591E" w:rsidP="00AF591E">
      <w:pPr>
        <w:numPr>
          <w:ilvl w:val="0"/>
          <w:numId w:val="5"/>
        </w:numPr>
      </w:pPr>
      <w:r w:rsidRPr="00AF591E">
        <w:rPr>
          <w:rFonts w:ascii="Segoe UI Emoji" w:hAnsi="Segoe UI Emoji" w:cs="Segoe UI Emoji"/>
        </w:rPr>
        <w:lastRenderedPageBreak/>
        <w:t>📌</w:t>
      </w:r>
      <w:r w:rsidRPr="00AF591E">
        <w:t xml:space="preserve"> </w:t>
      </w:r>
      <w:r w:rsidRPr="00AF591E">
        <w:rPr>
          <w:b/>
          <w:bCs/>
        </w:rPr>
        <w:t>Crucial Point (Escalation Mechanism):</w:t>
      </w:r>
      <w:r w:rsidRPr="00AF591E">
        <w:t xml:space="preserve"> When a major incident happens, a clear escalation mechanism is vital. Policies must explicitly mandate that frontline staff escalate issues to management within a specific timeframe (e.g., "X" hours). </w:t>
      </w:r>
    </w:p>
    <w:p w14:paraId="17887F2D" w14:textId="77777777" w:rsidR="00AF591E" w:rsidRPr="00AF591E" w:rsidRDefault="00AF591E" w:rsidP="00AF591E">
      <w:r w:rsidRPr="00AF591E">
        <w:t>DOCX+ 1</w:t>
      </w:r>
    </w:p>
    <w:p w14:paraId="6A839951" w14:textId="77777777" w:rsidR="00AF591E" w:rsidRPr="00AF591E" w:rsidRDefault="00AF591E" w:rsidP="00AF591E">
      <w:r w:rsidRPr="00AF591E">
        <w:rPr>
          <w:b/>
          <w:bCs/>
        </w:rPr>
        <w:t>2. Structuring "Risk Management"</w:t>
      </w:r>
      <w:r w:rsidRPr="00AF591E">
        <w:t xml:space="preserve"> Risk management is like travel insurance—it requires standardized workflows rather than gut feelings. For every AI risk, establish a continuous "Three-Layer Mechanism": </w:t>
      </w:r>
    </w:p>
    <w:p w14:paraId="1CF1FEFC" w14:textId="77777777" w:rsidR="00AF591E" w:rsidRPr="00AF591E" w:rsidRDefault="00AF591E" w:rsidP="00AF591E">
      <w:pPr>
        <w:numPr>
          <w:ilvl w:val="0"/>
          <w:numId w:val="6"/>
        </w:numPr>
      </w:pPr>
      <w:r w:rsidRPr="00AF591E">
        <w:rPr>
          <w:b/>
          <w:bCs/>
        </w:rPr>
        <w:t>Prevent:</w:t>
      </w:r>
      <w:r w:rsidRPr="00AF591E">
        <w:t xml:space="preserve"> Design rules and safeguards to stop issues before they occur. </w:t>
      </w:r>
    </w:p>
    <w:p w14:paraId="60342E19" w14:textId="77777777" w:rsidR="00AF591E" w:rsidRPr="00AF591E" w:rsidRDefault="00AF591E" w:rsidP="00AF591E">
      <w:pPr>
        <w:numPr>
          <w:ilvl w:val="0"/>
          <w:numId w:val="6"/>
        </w:numPr>
      </w:pPr>
      <w:r w:rsidRPr="00AF591E">
        <w:rPr>
          <w:b/>
          <w:bCs/>
        </w:rPr>
        <w:t>Handle:</w:t>
      </w:r>
      <w:r w:rsidRPr="00AF591E">
        <w:t xml:space="preserve"> Clear workflows and designated leaders for when incidents happen. </w:t>
      </w:r>
    </w:p>
    <w:p w14:paraId="4A140A1E" w14:textId="77777777" w:rsidR="00AF591E" w:rsidRPr="00AF591E" w:rsidRDefault="00AF591E" w:rsidP="00AF591E">
      <w:pPr>
        <w:numPr>
          <w:ilvl w:val="0"/>
          <w:numId w:val="6"/>
        </w:numPr>
      </w:pPr>
      <w:r w:rsidRPr="00AF591E">
        <w:rPr>
          <w:b/>
          <w:bCs/>
        </w:rPr>
        <w:t>Monitor:</w:t>
      </w:r>
      <w:r w:rsidRPr="00AF591E">
        <w:t xml:space="preserve"> Specific triggers that force a re-evaluation of risks. </w:t>
      </w:r>
    </w:p>
    <w:p w14:paraId="707E40FE" w14:textId="77777777" w:rsidR="00AF591E" w:rsidRPr="00AF591E" w:rsidRDefault="00AF591E" w:rsidP="00AF591E">
      <w:pPr>
        <w:numPr>
          <w:ilvl w:val="0"/>
          <w:numId w:val="6"/>
        </w:numPr>
      </w:pPr>
      <w:r w:rsidRPr="00AF591E">
        <w:rPr>
          <w:rFonts w:ascii="Segoe UI Emoji" w:hAnsi="Segoe UI Emoji" w:cs="Segoe UI Emoji"/>
        </w:rPr>
        <w:t>📌</w:t>
      </w:r>
      <w:r w:rsidRPr="00AF591E">
        <w:t xml:space="preserve"> </w:t>
      </w:r>
      <w:r w:rsidRPr="00AF591E">
        <w:rPr>
          <w:b/>
          <w:bCs/>
        </w:rPr>
        <w:t>Crucial Point:</w:t>
      </w:r>
      <w:r w:rsidRPr="00AF591E">
        <w:t xml:space="preserve"> Avoid vague statements like "we review periodically". Use concrete triggers, such as: "We monitor hallucination trends monthly; if the rate exceeds X%, it triggers an automatic recalibration of the model's confidence thresholds". </w:t>
      </w:r>
    </w:p>
    <w:p w14:paraId="55335AB1" w14:textId="77777777" w:rsidR="00AF591E" w:rsidRPr="00AF591E" w:rsidRDefault="00AF591E" w:rsidP="00AF591E">
      <w:r w:rsidRPr="00AF591E">
        <w:rPr>
          <w:b/>
          <w:bCs/>
        </w:rPr>
        <w:t>3. Implementing Practical "Control Mechanisms"</w:t>
      </w:r>
      <w:r w:rsidRPr="00AF591E">
        <w:t xml:space="preserve"> These are the on-the-ground defenses, supported by systematic logs. They generally fall into four categories: </w:t>
      </w:r>
    </w:p>
    <w:p w14:paraId="489CBBA2" w14:textId="77777777" w:rsidR="00AF591E" w:rsidRPr="00AF591E" w:rsidRDefault="00AF591E" w:rsidP="00AF591E">
      <w:pPr>
        <w:numPr>
          <w:ilvl w:val="0"/>
          <w:numId w:val="7"/>
        </w:numPr>
      </w:pPr>
      <w:r w:rsidRPr="00AF591E">
        <w:rPr>
          <w:b/>
          <w:bCs/>
        </w:rPr>
        <w:t>Data Control:</w:t>
      </w:r>
      <w:r w:rsidRPr="00AF591E">
        <w:t xml:space="preserve"> Defining prompt boundaries and practicing data minimization. It is highly recommended to include explicit contract clauses committing to not using client data for training or fine-tuning. </w:t>
      </w:r>
    </w:p>
    <w:p w14:paraId="396AA07F" w14:textId="77777777" w:rsidR="00AF591E" w:rsidRPr="00AF591E" w:rsidRDefault="00AF591E" w:rsidP="00AF591E">
      <w:pPr>
        <w:numPr>
          <w:ilvl w:val="0"/>
          <w:numId w:val="7"/>
        </w:numPr>
      </w:pPr>
      <w:r w:rsidRPr="00AF591E">
        <w:rPr>
          <w:b/>
          <w:bCs/>
        </w:rPr>
        <w:t>Model Control:</w:t>
      </w:r>
      <w:r w:rsidRPr="00AF591E">
        <w:t xml:space="preserve"> Maintaining a standardized Model Inventory. Major updates need strict change control, including testing, baseline drift detection, and a mandatory "Rollback" capability to revert to a stable version within a set timeframe. </w:t>
      </w:r>
    </w:p>
    <w:p w14:paraId="5FAB327B" w14:textId="77777777" w:rsidR="00AF591E" w:rsidRPr="00AF591E" w:rsidRDefault="00AF591E" w:rsidP="00AF591E">
      <w:pPr>
        <w:numPr>
          <w:ilvl w:val="0"/>
          <w:numId w:val="7"/>
        </w:numPr>
      </w:pPr>
      <w:r w:rsidRPr="00AF591E">
        <w:rPr>
          <w:b/>
          <w:bCs/>
        </w:rPr>
        <w:t>AI Behavior Control:</w:t>
      </w:r>
      <w:r w:rsidRPr="00AF591E">
        <w:t xml:space="preserve"> Mitigating hallucinations and threats through a multi-tiered defense: a machine layer, an LLM layer (e.g., RAG with confidence thresholds), and mandatory human review for high-risk outputs. Input sanitization and system locks are also necessary to prevent injections. </w:t>
      </w:r>
    </w:p>
    <w:p w14:paraId="6AA4A34A" w14:textId="77777777" w:rsidR="00AF591E" w:rsidRPr="00AF591E" w:rsidRDefault="00AF591E" w:rsidP="00AF591E">
      <w:pPr>
        <w:numPr>
          <w:ilvl w:val="0"/>
          <w:numId w:val="7"/>
        </w:numPr>
      </w:pPr>
      <w:r w:rsidRPr="00AF591E">
        <w:rPr>
          <w:b/>
          <w:bCs/>
        </w:rPr>
        <w:t>Monitoring &amp; Response:</w:t>
      </w:r>
      <w:r w:rsidRPr="00AF591E">
        <w:t xml:space="preserve"> Maintaining AI-specific logs (e.g., hallucination events) and standardizing incident classification. Follow a strict process: Investigation </w:t>
      </w:r>
      <w:r w:rsidRPr="00AF591E">
        <w:rPr>
          <w:rFonts w:ascii="Segoe UI Symbol" w:hAnsi="Segoe UI Symbol" w:cs="Segoe UI Symbol"/>
        </w:rPr>
        <w:t>➔</w:t>
      </w:r>
      <w:r w:rsidRPr="00AF591E">
        <w:t xml:space="preserve"> Root Cause Analysis (RCA) </w:t>
      </w:r>
      <w:r w:rsidRPr="00AF591E">
        <w:rPr>
          <w:rFonts w:ascii="Segoe UI Symbol" w:hAnsi="Segoe UI Symbol" w:cs="Segoe UI Symbol"/>
        </w:rPr>
        <w:t>➔</w:t>
      </w:r>
      <w:r w:rsidRPr="00AF591E">
        <w:t xml:space="preserve"> Remediation </w:t>
      </w:r>
      <w:r w:rsidRPr="00AF591E">
        <w:rPr>
          <w:rFonts w:ascii="Segoe UI Symbol" w:hAnsi="Segoe UI Symbol" w:cs="Segoe UI Symbol"/>
        </w:rPr>
        <w:t>➔</w:t>
      </w:r>
      <w:r w:rsidRPr="00AF591E">
        <w:t xml:space="preserve"> Immediate Response. </w:t>
      </w:r>
    </w:p>
    <w:p w14:paraId="65E1CCB2" w14:textId="77777777" w:rsidR="00AF591E" w:rsidRPr="00AF591E" w:rsidRDefault="00AF591E" w:rsidP="00AF591E">
      <w:r w:rsidRPr="00AF591E">
        <w:rPr>
          <w:b/>
          <w:bCs/>
        </w:rPr>
        <w:t>Part 2: How to Systematically Answer Client Inquiries</w:t>
      </w:r>
      <w:r w:rsidRPr="00AF591E">
        <w:t xml:space="preserve"> Once internal guidelines and controls are documented, communicating them becomes much more straightforward. </w:t>
      </w:r>
    </w:p>
    <w:p w14:paraId="3E58C89C" w14:textId="77777777" w:rsidR="00AF591E" w:rsidRPr="00AF591E" w:rsidRDefault="00AF591E" w:rsidP="00AF591E">
      <w:r w:rsidRPr="00AF591E">
        <w:rPr>
          <w:b/>
          <w:bCs/>
        </w:rPr>
        <w:lastRenderedPageBreak/>
        <w:t xml:space="preserve">1. What Auditors Are Looking </w:t>
      </w:r>
      <w:proofErr w:type="gramStart"/>
      <w:r w:rsidRPr="00AF591E">
        <w:rPr>
          <w:b/>
          <w:bCs/>
        </w:rPr>
        <w:t>For</w:t>
      </w:r>
      <w:proofErr w:type="gramEnd"/>
      <w:r w:rsidRPr="00AF591E">
        <w:t xml:space="preserve"> When clients ask about AI risk management, they are typically evaluating three underlying questions: </w:t>
      </w:r>
    </w:p>
    <w:p w14:paraId="0FEC25A2" w14:textId="77777777" w:rsidR="00AF591E" w:rsidRPr="00AF591E" w:rsidRDefault="00AF591E" w:rsidP="00AF591E">
      <w:pPr>
        <w:numPr>
          <w:ilvl w:val="0"/>
          <w:numId w:val="8"/>
        </w:numPr>
      </w:pPr>
      <w:r w:rsidRPr="00AF591E">
        <w:t xml:space="preserve">Is there clear responsibility allocation? (Who is in charge?) </w:t>
      </w:r>
    </w:p>
    <w:p w14:paraId="6B1E5BFE" w14:textId="77777777" w:rsidR="00AF591E" w:rsidRPr="00AF591E" w:rsidRDefault="00AF591E" w:rsidP="00AF591E">
      <w:pPr>
        <w:numPr>
          <w:ilvl w:val="0"/>
          <w:numId w:val="8"/>
        </w:numPr>
      </w:pPr>
      <w:r w:rsidRPr="00AF591E">
        <w:t xml:space="preserve">Is there an execution mechanism? (What are the specific workflows and triggers?) </w:t>
      </w:r>
    </w:p>
    <w:p w14:paraId="74F19809" w14:textId="77777777" w:rsidR="00AF591E" w:rsidRPr="00AF591E" w:rsidRDefault="00AF591E" w:rsidP="00AF591E">
      <w:pPr>
        <w:numPr>
          <w:ilvl w:val="0"/>
          <w:numId w:val="8"/>
        </w:numPr>
      </w:pPr>
      <w:r w:rsidRPr="00AF591E">
        <w:t xml:space="preserve">Is there documentation? (What official standard is the plan based on?) </w:t>
      </w:r>
    </w:p>
    <w:p w14:paraId="2856B690" w14:textId="77777777" w:rsidR="00AF591E" w:rsidRPr="00AF591E" w:rsidRDefault="00AF591E" w:rsidP="00AF591E">
      <w:r w:rsidRPr="00AF591E">
        <w:rPr>
          <w:b/>
          <w:bCs/>
        </w:rPr>
        <w:t>2. A Structured Response Approach</w:t>
      </w:r>
      <w:r w:rsidRPr="00AF591E">
        <w:t xml:space="preserve"> Instead of simply saying, "Yes, we do that," a more effective way to build trust is to structure responses clearly: </w:t>
      </w:r>
      <w:r w:rsidRPr="00AF591E">
        <w:rPr>
          <w:rFonts w:ascii="Segoe UI Emoji" w:hAnsi="Segoe UI Emoji" w:cs="Segoe UI Emoji"/>
        </w:rPr>
        <w:t>👉</w:t>
      </w:r>
      <w:r w:rsidRPr="00AF591E">
        <w:t xml:space="preserve"> </w:t>
      </w:r>
      <w:r w:rsidRPr="00AF591E">
        <w:rPr>
          <w:b/>
          <w:bCs/>
        </w:rPr>
        <w:t>① What is done (Clear Scope) + ② How it is done (Specific Process / Tool / Owner) + ③ Official Reference (e.g., NIST / ISO / CSA)</w:t>
      </w:r>
      <w:r w:rsidRPr="00AF591E">
        <w:t xml:space="preserve">. </w:t>
      </w:r>
    </w:p>
    <w:p w14:paraId="0C980EA3" w14:textId="77777777" w:rsidR="00AF591E" w:rsidRPr="00AF591E" w:rsidRDefault="00AF591E" w:rsidP="00AF591E">
      <w:r w:rsidRPr="00AF591E">
        <w:rPr>
          <w:rFonts w:ascii="Segoe UI Emoji" w:hAnsi="Segoe UI Emoji" w:cs="Segoe UI Emoji"/>
        </w:rPr>
        <w:t>📌</w:t>
      </w:r>
      <w:r w:rsidRPr="00AF591E">
        <w:t xml:space="preserve"> </w:t>
      </w:r>
      <w:r w:rsidRPr="00AF591E">
        <w:rPr>
          <w:b/>
          <w:bCs/>
        </w:rPr>
        <w:t>Crucial Point (The "Partially Compliant" Reality):</w:t>
      </w:r>
      <w:r w:rsidRPr="00AF591E">
        <w:t xml:space="preserve"> If a requested feature is only partially implemented, transparency is key. Clearly state: (1) The current concrete measures in place, (2) An honest acknowledgement of what is currently lacking, and (3) A clear timeline for resolution. Example: "We currently conduct manual acceptance testing for major changes, but we are developing an automated drift detection mechanism, scheduled to go live in Q3". </w:t>
      </w:r>
    </w:p>
    <w:p w14:paraId="13CC2294" w14:textId="77777777" w:rsidR="00AF591E" w:rsidRPr="00AF591E" w:rsidRDefault="00AF591E" w:rsidP="00AF591E">
      <w:r w:rsidRPr="00AF591E">
        <w:rPr>
          <w:b/>
          <w:bCs/>
        </w:rPr>
        <w:t>Conclusion: Building Trust Through Structure</w:t>
      </w:r>
      <w:r w:rsidRPr="00AF591E">
        <w:t xml:space="preserve"> AI Governance is more than just adopting a cybersecurity tool; it is about establishing a standardized system where workflows, responsible parties, and documentation are clearly defined before a problem occurs. By understanding what needs to be built internally and framing answers systematically, service providers can offer the sense of security that enterprise clients require. </w:t>
      </w:r>
    </w:p>
    <w:p w14:paraId="41D09379" w14:textId="77777777" w:rsidR="00AF591E" w:rsidRPr="00AF591E" w:rsidRDefault="00AF591E" w:rsidP="00AF591E">
      <w:r w:rsidRPr="00AF591E">
        <w:t xml:space="preserve">I am sharing this working framework not as an absolute authority, but because our team is actively navigating these challenges, and these learnings seem worth discussing. AI governance is still a nascent field, and while universal frameworks are emerging, navigating official documentation can be exhausting. Having a basic mental framework to apply to various cases is essential. For example, even a startup without a dedicated compliance department needs to think ahead about cross-departmental crisis response and incident escalation procedures, emphasizing the need for early standardization and documentation. </w:t>
      </w:r>
    </w:p>
    <w:p w14:paraId="203D9283" w14:textId="77777777" w:rsidR="00F06CCD" w:rsidRDefault="00F06CCD"/>
    <w:sectPr w:rsidR="00F06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A33"/>
    <w:multiLevelType w:val="multilevel"/>
    <w:tmpl w:val="E7E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763C8"/>
    <w:multiLevelType w:val="multilevel"/>
    <w:tmpl w:val="987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D430A"/>
    <w:multiLevelType w:val="multilevel"/>
    <w:tmpl w:val="26EC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15B66"/>
    <w:multiLevelType w:val="multilevel"/>
    <w:tmpl w:val="59C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23FD1"/>
    <w:multiLevelType w:val="multilevel"/>
    <w:tmpl w:val="FDA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A540E"/>
    <w:multiLevelType w:val="multilevel"/>
    <w:tmpl w:val="C6E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94016"/>
    <w:multiLevelType w:val="multilevel"/>
    <w:tmpl w:val="B7F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51BA4"/>
    <w:multiLevelType w:val="multilevel"/>
    <w:tmpl w:val="22CC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550335">
    <w:abstractNumId w:val="2"/>
  </w:num>
  <w:num w:numId="2" w16cid:durableId="977612275">
    <w:abstractNumId w:val="4"/>
  </w:num>
  <w:num w:numId="3" w16cid:durableId="1386561122">
    <w:abstractNumId w:val="6"/>
  </w:num>
  <w:num w:numId="4" w16cid:durableId="84352525">
    <w:abstractNumId w:val="7"/>
  </w:num>
  <w:num w:numId="5" w16cid:durableId="332421328">
    <w:abstractNumId w:val="1"/>
  </w:num>
  <w:num w:numId="6" w16cid:durableId="2065444772">
    <w:abstractNumId w:val="5"/>
  </w:num>
  <w:num w:numId="7" w16cid:durableId="903636828">
    <w:abstractNumId w:val="3"/>
  </w:num>
  <w:num w:numId="8" w16cid:durableId="7146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02"/>
    <w:rsid w:val="00297902"/>
    <w:rsid w:val="00332F49"/>
    <w:rsid w:val="00AF591E"/>
    <w:rsid w:val="00BB31C7"/>
    <w:rsid w:val="00CB2F48"/>
    <w:rsid w:val="00F06C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6365"/>
  <w15:chartTrackingRefBased/>
  <w15:docId w15:val="{DC71A616-1A22-4BD4-9B33-CEA2CDDD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9790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29790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297902"/>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29790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9790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79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79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79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79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97902"/>
    <w:rPr>
      <w:rFonts w:asciiTheme="majorHAnsi" w:eastAsiaTheme="majorEastAsia" w:hAnsiTheme="majorHAnsi" w:cstheme="majorBidi"/>
      <w:color w:val="2F5496" w:themeColor="accent1" w:themeShade="BF"/>
      <w:sz w:val="40"/>
      <w:szCs w:val="50"/>
    </w:rPr>
  </w:style>
  <w:style w:type="character" w:customStyle="1" w:styleId="20">
    <w:name w:val="標題 2 字元"/>
    <w:basedOn w:val="a0"/>
    <w:link w:val="2"/>
    <w:uiPriority w:val="9"/>
    <w:semiHidden/>
    <w:rsid w:val="00297902"/>
    <w:rPr>
      <w:rFonts w:asciiTheme="majorHAnsi" w:eastAsiaTheme="majorEastAsia" w:hAnsiTheme="majorHAnsi" w:cstheme="majorBidi"/>
      <w:color w:val="2F5496" w:themeColor="accent1" w:themeShade="BF"/>
      <w:sz w:val="32"/>
      <w:szCs w:val="40"/>
    </w:rPr>
  </w:style>
  <w:style w:type="character" w:customStyle="1" w:styleId="30">
    <w:name w:val="標題 3 字元"/>
    <w:basedOn w:val="a0"/>
    <w:link w:val="3"/>
    <w:uiPriority w:val="9"/>
    <w:semiHidden/>
    <w:rsid w:val="00297902"/>
    <w:rPr>
      <w:rFonts w:eastAsiaTheme="majorEastAsia" w:cstheme="majorBidi"/>
      <w:color w:val="2F5496" w:themeColor="accent1" w:themeShade="BF"/>
      <w:sz w:val="28"/>
      <w:szCs w:val="35"/>
    </w:rPr>
  </w:style>
  <w:style w:type="character" w:customStyle="1" w:styleId="40">
    <w:name w:val="標題 4 字元"/>
    <w:basedOn w:val="a0"/>
    <w:link w:val="4"/>
    <w:uiPriority w:val="9"/>
    <w:semiHidden/>
    <w:rsid w:val="00297902"/>
    <w:rPr>
      <w:rFonts w:eastAsiaTheme="majorEastAsia" w:cstheme="majorBidi"/>
      <w:i/>
      <w:iCs/>
      <w:color w:val="2F5496" w:themeColor="accent1" w:themeShade="BF"/>
    </w:rPr>
  </w:style>
  <w:style w:type="character" w:customStyle="1" w:styleId="50">
    <w:name w:val="標題 5 字元"/>
    <w:basedOn w:val="a0"/>
    <w:link w:val="5"/>
    <w:uiPriority w:val="9"/>
    <w:semiHidden/>
    <w:rsid w:val="00297902"/>
    <w:rPr>
      <w:rFonts w:eastAsiaTheme="majorEastAsia" w:cstheme="majorBidi"/>
      <w:color w:val="2F5496" w:themeColor="accent1" w:themeShade="BF"/>
    </w:rPr>
  </w:style>
  <w:style w:type="character" w:customStyle="1" w:styleId="60">
    <w:name w:val="標題 6 字元"/>
    <w:basedOn w:val="a0"/>
    <w:link w:val="6"/>
    <w:uiPriority w:val="9"/>
    <w:semiHidden/>
    <w:rsid w:val="00297902"/>
    <w:rPr>
      <w:rFonts w:eastAsiaTheme="majorEastAsia" w:cstheme="majorBidi"/>
      <w:i/>
      <w:iCs/>
      <w:color w:val="595959" w:themeColor="text1" w:themeTint="A6"/>
    </w:rPr>
  </w:style>
  <w:style w:type="character" w:customStyle="1" w:styleId="70">
    <w:name w:val="標題 7 字元"/>
    <w:basedOn w:val="a0"/>
    <w:link w:val="7"/>
    <w:uiPriority w:val="9"/>
    <w:semiHidden/>
    <w:rsid w:val="00297902"/>
    <w:rPr>
      <w:rFonts w:eastAsiaTheme="majorEastAsia" w:cstheme="majorBidi"/>
      <w:color w:val="595959" w:themeColor="text1" w:themeTint="A6"/>
    </w:rPr>
  </w:style>
  <w:style w:type="character" w:customStyle="1" w:styleId="80">
    <w:name w:val="標題 8 字元"/>
    <w:basedOn w:val="a0"/>
    <w:link w:val="8"/>
    <w:uiPriority w:val="9"/>
    <w:semiHidden/>
    <w:rsid w:val="00297902"/>
    <w:rPr>
      <w:rFonts w:eastAsiaTheme="majorEastAsia" w:cstheme="majorBidi"/>
      <w:i/>
      <w:iCs/>
      <w:color w:val="272727" w:themeColor="text1" w:themeTint="D8"/>
    </w:rPr>
  </w:style>
  <w:style w:type="character" w:customStyle="1" w:styleId="90">
    <w:name w:val="標題 9 字元"/>
    <w:basedOn w:val="a0"/>
    <w:link w:val="9"/>
    <w:uiPriority w:val="9"/>
    <w:semiHidden/>
    <w:rsid w:val="00297902"/>
    <w:rPr>
      <w:rFonts w:eastAsiaTheme="majorEastAsia" w:cstheme="majorBidi"/>
      <w:color w:val="272727" w:themeColor="text1" w:themeTint="D8"/>
    </w:rPr>
  </w:style>
  <w:style w:type="paragraph" w:styleId="a3">
    <w:name w:val="Title"/>
    <w:basedOn w:val="a"/>
    <w:next w:val="a"/>
    <w:link w:val="a4"/>
    <w:uiPriority w:val="10"/>
    <w:qFormat/>
    <w:rsid w:val="002979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rsid w:val="00297902"/>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297902"/>
    <w:pPr>
      <w:numPr>
        <w:ilvl w:val="1"/>
      </w:numPr>
    </w:pPr>
    <w:rPr>
      <w:rFonts w:eastAsiaTheme="majorEastAsia" w:cstheme="majorBidi"/>
      <w:color w:val="595959" w:themeColor="text1" w:themeTint="A6"/>
      <w:spacing w:val="15"/>
      <w:sz w:val="28"/>
      <w:szCs w:val="35"/>
    </w:rPr>
  </w:style>
  <w:style w:type="character" w:customStyle="1" w:styleId="a6">
    <w:name w:val="副標題 字元"/>
    <w:basedOn w:val="a0"/>
    <w:link w:val="a5"/>
    <w:uiPriority w:val="11"/>
    <w:rsid w:val="00297902"/>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297902"/>
    <w:pPr>
      <w:spacing w:before="160"/>
      <w:jc w:val="center"/>
    </w:pPr>
    <w:rPr>
      <w:i/>
      <w:iCs/>
      <w:color w:val="404040" w:themeColor="text1" w:themeTint="BF"/>
    </w:rPr>
  </w:style>
  <w:style w:type="character" w:customStyle="1" w:styleId="a8">
    <w:name w:val="引文 字元"/>
    <w:basedOn w:val="a0"/>
    <w:link w:val="a7"/>
    <w:uiPriority w:val="29"/>
    <w:rsid w:val="00297902"/>
    <w:rPr>
      <w:i/>
      <w:iCs/>
      <w:color w:val="404040" w:themeColor="text1" w:themeTint="BF"/>
    </w:rPr>
  </w:style>
  <w:style w:type="paragraph" w:styleId="a9">
    <w:name w:val="List Paragraph"/>
    <w:basedOn w:val="a"/>
    <w:uiPriority w:val="34"/>
    <w:qFormat/>
    <w:rsid w:val="00297902"/>
    <w:pPr>
      <w:ind w:left="720"/>
      <w:contextualSpacing/>
    </w:pPr>
  </w:style>
  <w:style w:type="character" w:styleId="aa">
    <w:name w:val="Intense Emphasis"/>
    <w:basedOn w:val="a0"/>
    <w:uiPriority w:val="21"/>
    <w:qFormat/>
    <w:rsid w:val="00297902"/>
    <w:rPr>
      <w:i/>
      <w:iCs/>
      <w:color w:val="2F5496" w:themeColor="accent1" w:themeShade="BF"/>
    </w:rPr>
  </w:style>
  <w:style w:type="paragraph" w:styleId="ab">
    <w:name w:val="Intense Quote"/>
    <w:basedOn w:val="a"/>
    <w:next w:val="a"/>
    <w:link w:val="ac"/>
    <w:uiPriority w:val="30"/>
    <w:qFormat/>
    <w:rsid w:val="00297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97902"/>
    <w:rPr>
      <w:i/>
      <w:iCs/>
      <w:color w:val="2F5496" w:themeColor="accent1" w:themeShade="BF"/>
    </w:rPr>
  </w:style>
  <w:style w:type="character" w:styleId="ad">
    <w:name w:val="Intense Reference"/>
    <w:basedOn w:val="a0"/>
    <w:uiPriority w:val="32"/>
    <w:qFormat/>
    <w:rsid w:val="002979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Wu</dc:creator>
  <cp:keywords/>
  <dc:description/>
  <cp:lastModifiedBy>Aaron Wu</cp:lastModifiedBy>
  <cp:revision>2</cp:revision>
  <dcterms:created xsi:type="dcterms:W3CDTF">2026-06-29T05:40:00Z</dcterms:created>
  <dcterms:modified xsi:type="dcterms:W3CDTF">2026-06-29T05:41:00Z</dcterms:modified>
</cp:coreProperties>
</file>