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pPr>
    </w:p>
    <w:p>
      <w:pPr>
        <w:pStyle w:val="Heading1"/>
        <w:spacing w:before="0" w:after="120"/>
        <w:jc w:val="center"/>
      </w:pPr>
      <w:r>
        <w:rPr>
          <w:rFonts w:ascii="Calibri" w:cs="Calibri" w:eastAsia="Calibri" w:hAnsi="Calibri"/>
          <w:b/>
          <w:bCs/>
          <w:color w:val="1A237E"/>
          <w:sz w:val="40"/>
          <w:szCs w:val="40"/>
        </w:rPr>
        <w:t xml:space="preserve">Digital Literacy Portfolio</w:t>
      </w:r>
    </w:p>
    <w:p>
      <w:pPr>
        <w:spacing w:before="0" w:after="400"/>
        <w:jc w:val="center"/>
      </w:pPr>
      <w:r>
        <w:rPr>
          <w:rFonts w:ascii="Calibri" w:cs="Calibri" w:eastAsia="Calibri" w:hAnsi="Calibri"/>
          <w:color w:val="555555"/>
          <w:sz w:val="22"/>
          <w:szCs w:val="22"/>
        </w:rPr>
        <w:t xml:space="preserve">Course Code: CSE0001  |  Course Title: Digital Literacy</w:t>
      </w:r>
    </w:p>
    <w:p>
      <w:pPr>
        <w:spacing w:before="60" w:after="60"/>
        <w:jc w:val="center"/>
      </w:pPr>
      <w:r>
        <w:rPr>
          <w:rFonts w:ascii="Calibri" w:cs="Calibri" w:eastAsia="Calibri" w:hAnsi="Calibri"/>
          <w:b/>
          <w:bCs/>
          <w:sz w:val="24"/>
          <w:szCs w:val="24"/>
        </w:rPr>
        <w:t xml:space="preserve">Submitted By: </w:t>
      </w:r>
      <w:r>
        <w:rPr>
          <w:rFonts w:ascii="Calibri" w:cs="Calibri" w:eastAsia="Calibri" w:hAnsi="Calibri"/>
          <w:sz w:val="24"/>
          <w:szCs w:val="24"/>
        </w:rPr>
        <w:t xml:space="preserve">Arsh Arun</w:t>
      </w:r>
    </w:p>
    <w:p>
      <w:pPr>
        <w:spacing w:before="60" w:after="60"/>
        <w:jc w:val="center"/>
      </w:pPr>
      <w:r>
        <w:rPr>
          <w:rFonts w:ascii="Calibri" w:cs="Calibri" w:eastAsia="Calibri" w:hAnsi="Calibri"/>
          <w:b/>
          <w:bCs/>
          <w:sz w:val="24"/>
          <w:szCs w:val="24"/>
        </w:rPr>
        <w:t xml:space="preserve">Reg No.: </w:t>
      </w:r>
      <w:r>
        <w:rPr>
          <w:rFonts w:ascii="Calibri" w:cs="Calibri" w:eastAsia="Calibri" w:hAnsi="Calibri"/>
          <w:sz w:val="24"/>
          <w:szCs w:val="24"/>
        </w:rPr>
        <w:t xml:space="preserve">25BAI10482</w:t>
      </w:r>
    </w:p>
    <w:p>
      <w:pPr>
        <w:spacing w:before="60" w:after="60"/>
        <w:jc w:val="center"/>
      </w:pPr>
      <w:r>
        <w:rPr>
          <w:rFonts w:ascii="Calibri" w:cs="Calibri" w:eastAsia="Calibri" w:hAnsi="Calibri"/>
          <w:b/>
          <w:bCs/>
          <w:sz w:val="24"/>
          <w:szCs w:val="24"/>
        </w:rPr>
        <w:t xml:space="preserve">Branch: </w:t>
      </w:r>
      <w:r>
        <w:rPr>
          <w:rFonts w:ascii="Calibri" w:cs="Calibri" w:eastAsia="Calibri" w:hAnsi="Calibri"/>
          <w:sz w:val="24"/>
          <w:szCs w:val="24"/>
        </w:rPr>
        <w:t xml:space="preserve">CSE (AIML) — 1st Year</w:t>
      </w:r>
    </w:p>
    <w:p>
      <w:pPr>
        <w:spacing w:before="60" w:after="60"/>
        <w:jc w:val="center"/>
      </w:pPr>
      <w:r>
        <w:rPr>
          <w:rFonts w:ascii="Calibri" w:cs="Calibri" w:eastAsia="Calibri" w:hAnsi="Calibri"/>
          <w:b/>
          <w:bCs/>
          <w:sz w:val="24"/>
          <w:szCs w:val="24"/>
        </w:rPr>
        <w:t xml:space="preserve">Institution: </w:t>
      </w:r>
      <w:r>
        <w:rPr>
          <w:rFonts w:ascii="Calibri" w:cs="Calibri" w:eastAsia="Calibri" w:hAnsi="Calibri"/>
          <w:sz w:val="24"/>
          <w:szCs w:val="24"/>
        </w:rPr>
        <w:t xml:space="preserve">VIT Bhopal University</w:t>
      </w:r>
    </w:p>
    <w:p>
      <w:pPr>
        <w:spacing w:before="60" w:after="60"/>
        <w:jc w:val="center"/>
      </w:pPr>
      <w:r>
        <w:rPr>
          <w:rFonts w:ascii="Calibri" w:cs="Calibri" w:eastAsia="Calibri" w:hAnsi="Calibri"/>
          <w:b/>
          <w:bCs/>
          <w:sz w:val="24"/>
          <w:szCs w:val="24"/>
        </w:rPr>
        <w:t xml:space="preserve">Date: </w:t>
      </w:r>
      <w:r>
        <w:rPr>
          <w:rFonts w:ascii="Calibri" w:cs="Calibri" w:eastAsia="Calibri" w:hAnsi="Calibri"/>
          <w:sz w:val="24"/>
          <w:szCs w:val="24"/>
        </w:rPr>
        <w:t xml:space="preserve">30/03/2026</w:t>
      </w:r>
    </w:p>
    <w:p>
      <w:pPr>
        <w:spacing w:before="400"/>
      </w:pPr>
    </w:p>
    <w:p>
      <w:pPr>
        <w:pStyle w:val="Heading2"/>
        <w:spacing w:before="0" w:after="140"/>
      </w:pPr>
      <w:r>
        <w:rPr>
          <w:rFonts w:ascii="Calibri" w:cs="Calibri" w:eastAsia="Calibri" w:hAnsi="Calibri"/>
          <w:b/>
          <w:bCs/>
          <w:color w:val="2E3A87"/>
          <w:sz w:val="28"/>
          <w:szCs w:val="28"/>
        </w:rPr>
        <w:t xml:space="preserve">Introduction</w:t>
      </w:r>
    </w:p>
    <w:p>
      <w:pPr>
        <w:spacing w:before="0" w:after="160"/>
        <w:jc w:val="both"/>
      </w:pPr>
      <w:r>
        <w:rPr>
          <w:rFonts w:ascii="Calibri" w:cs="Calibri" w:eastAsia="Calibri" w:hAnsi="Calibri"/>
          <w:sz w:val="24"/>
          <w:szCs w:val="24"/>
        </w:rPr>
        <w:t xml:space="preserve">This project was completed as part of my role as a Student Digital Ambassador. The primary objective was to build a Digital Literacy Portfolio that demonstrates a professional online presence and responsible digital communication. Over five modules, I explored visual design, platform setup, coding collaboration, professional etiquette, and cybercrime awareness. This repository serves as a practical demonstration of my ability to navigate the digital world safely and effectively.</w:t>
      </w:r>
    </w:p>
    <w:p>
      <w:pPr>
        <w:pStyle w:val="Heading2"/>
        <w:spacing w:before="360" w:after="140"/>
      </w:pPr>
      <w:r>
        <w:rPr>
          <w:rFonts w:ascii="Calibri" w:cs="Calibri" w:eastAsia="Calibri" w:hAnsi="Calibri"/>
          <w:b/>
          <w:bCs/>
          <w:color w:val="2E3A87"/>
          <w:sz w:val="28"/>
          <w:szCs w:val="28"/>
        </w:rPr>
        <w:t xml:space="preserve">Task 1: Digital Literacy Awareness Infographic</w:t>
      </w:r>
    </w:p>
    <w:p>
      <w:pPr>
        <w:spacing w:before="0" w:after="160"/>
        <w:jc w:val="both"/>
      </w:pPr>
      <w:r>
        <w:rPr>
          <w:rFonts w:ascii="Calibri" w:cs="Calibri" w:eastAsia="Calibri" w:hAnsi="Calibri"/>
          <w:sz w:val="24"/>
          <w:szCs w:val="24"/>
        </w:rPr>
        <w:t xml:space="preserve">For this task, I created a visual infographic using Canva to explain the core pillars of digital literacy. My design specifically highlights safe internet practices, professional online presence, and the importance of email etiquette. One thing I found particularly interesting was how visual hierarchy can make technical information much easier for students to digest at a glance. The final design has been exported and stored in the task-1-presentation/ folder.</w:t>
      </w:r>
    </w:p>
    <w:p>
      <w:pPr>
        <w:spacing w:before="0" w:after="160"/>
        <w:jc w:val="both"/>
      </w:pPr>
      <w:r>
        <w:rPr>
          <w:rFonts w:ascii="Calibri" w:cs="Calibri" w:eastAsia="Calibri" w:hAnsi="Calibri"/>
          <w:sz w:val="24"/>
          <w:szCs w:val="24"/>
        </w:rPr>
        <w:t xml:space="preserve">Digital literacy is more than just knowing how to use a device — it encompasses a broad set of competencies that enable individuals to safely and critically participate in the modern digital environment. For this infographic, I focused on making abstract concepts visually tangible by using colour-coded sections, icons, and concise bullet points that cater to a student audience. The design process itself taught me how to structure complex information into a scannable format, a skill that is invaluable in both academic and professional settings. I chose Canva as my design tool because of its beginner-friendly drag-and-drop interface, wide template library, and ability to export in multiple formats including PNG and PDF. Structuring the infographic required me to first research the most relevant digital literacy topics for first-year students, then prioritise the ones with the highest practical impact. The completed infographic covers five themes — digital tools, internet safety, professional presence, email etiquette, and cybercrime awareness — arranged in a colour-coded, five-panel layout for clarity. This task reinforced the idea that effective communication is as much about design as it is about content.</w:t>
      </w:r>
    </w:p>
    <w:p>
      <w:pPr>
        <w:pStyle w:val="Heading2"/>
        <w:spacing w:before="360" w:after="140"/>
      </w:pPr>
      <w:r>
        <w:rPr>
          <w:rFonts w:ascii="Calibri" w:cs="Calibri" w:eastAsia="Calibri" w:hAnsi="Calibri"/>
          <w:b/>
          <w:bCs/>
          <w:color w:val="2E3A87"/>
          <w:sz w:val="28"/>
          <w:szCs w:val="28"/>
        </w:rPr>
        <w:t xml:space="preserve">Task 2: Student Digital Portfolio</w:t>
      </w:r>
    </w:p>
    <w:p>
      <w:pPr>
        <w:spacing w:before="0" w:after="160"/>
        <w:jc w:val="both"/>
      </w:pPr>
      <w:r>
        <w:rPr>
          <w:rFonts w:ascii="Calibri" w:cs="Calibri" w:eastAsia="Calibri" w:hAnsi="Calibri"/>
          <w:sz w:val="24"/>
          <w:szCs w:val="24"/>
        </w:rPr>
        <w:t xml:space="preserve">I set up professional profiles on GitHub, LinkedIn, and Kaggle to establish my foundational academic presence. I used LinkedIn to document my current education at VIT Bhopal and created a custom GitHub Profile README with my branch and learning goals. Over the next four years, I plan to use LinkedIn for networking with alumni and GitHub to host my technical projects and open-source contributions. Screenshots of these profiles are available in the task-2-portfolio/ folder.</w:t>
      </w:r>
    </w:p>
    <w:p>
      <w:pPr>
        <w:spacing w:before="0" w:after="160"/>
        <w:jc w:val="both"/>
      </w:pPr>
      <w:r>
        <w:rPr>
          <w:rFonts w:ascii="Calibri" w:cs="Calibri" w:eastAsia="Calibri" w:hAnsi="Calibri"/>
          <w:sz w:val="24"/>
          <w:szCs w:val="24"/>
        </w:rPr>
        <w:t xml:space="preserve">Building a digital portfolio as a first-year engineering student is one of the most forward-thinking investments I can make in my academic career. A well-maintained LinkedIn profile acts as a living resume, allowing recruiters, professors, and industry mentors to discover my work even before I actively apply for internships or jobs. For my GitHub profile, I crafted a personalised README.md file that introduces my name, current learning stack, and areas of interest in AI/ML, making my profile instantly informative to any visitor. On Kaggle, I created a profile that I intend to use for data science competitions and notebooks as I progress through my coursework. The process of setting up these platforms also taught me about the importance of profile completeness — platforms like LinkedIn boost the visibility of profiles that are filled out entirely, including profile photos, summaries, and skills sections. I also learned to cross-link my profiles so that my GitHub is referenced on LinkedIn and vice versa, creating a cohesive and verifiable digital identity. This interconnected approach ensures that anyone who encounters my profile on one platform can easily explore the rest of my professional presence, strengthening my overall digital brand as an aspiring AI/ML engineer.</w:t>
      </w:r>
    </w:p>
    <w:p>
      <w:pPr>
        <w:pStyle w:val="Heading2"/>
        <w:spacing w:before="360" w:after="140"/>
      </w:pPr>
      <w:r>
        <w:rPr>
          <w:rFonts w:ascii="Calibri" w:cs="Calibri" w:eastAsia="Calibri" w:hAnsi="Calibri"/>
          <w:b/>
          <w:bCs/>
          <w:color w:val="2E3A87"/>
          <w:sz w:val="28"/>
          <w:szCs w:val="28"/>
        </w:rPr>
        <w:t xml:space="preserve">Task 3: Coding &amp; Collaboration Platforms</w:t>
      </w:r>
    </w:p>
    <w:p>
      <w:pPr>
        <w:spacing w:before="0" w:after="160"/>
        <w:jc w:val="both"/>
      </w:pPr>
      <w:r>
        <w:rPr>
          <w:rFonts w:ascii="Calibri" w:cs="Calibri" w:eastAsia="Calibri" w:hAnsi="Calibri"/>
          <w:sz w:val="24"/>
          <w:szCs w:val="24"/>
        </w:rPr>
        <w:t xml:space="preserve">To practice technical skills, I completed a beginner challenge on HackerRank. Additionally, I built a 5-question "Digital Literacy Awareness Quiz" using Google Forms to engage my batchmates. These tools are essential for my academic journey as they allow me to validate my coding logic and collaborate on data-driven tasks with my peers. Proof of these activities is documented in the task-3-platforms/ folder.</w:t>
      </w:r>
    </w:p>
    <w:p>
      <w:pPr>
        <w:spacing w:before="0" w:after="160"/>
        <w:jc w:val="both"/>
      </w:pPr>
      <w:r>
        <w:rPr>
          <w:rFonts w:ascii="Calibri" w:cs="Calibri" w:eastAsia="Calibri" w:hAnsi="Calibri"/>
          <w:sz w:val="24"/>
          <w:szCs w:val="24"/>
        </w:rPr>
        <w:t xml:space="preserve">Coding and collaboration platforms are indispensable tools for any computer science student, and this task gave me hands-on experience with two of the most widely used ones. HackerRank provides a structured environment for practising algorithms and data structures with immediate automated feedback, which is far more effective than simply reading theory. Completing my first challenge — even at a beginner level — gave me a tangible sense of accomplishment and a public certificate I could add to my LinkedIn profile. Building the Digital Literacy Quiz on Google Forms was equally valuable from a different angle: it forced me to think about pedagogy, question design, and how to make learning interactive. I structured the quiz with a mix of multiple-choice and true/false questions, covering topics such as phishing, password security, and professional email writing. I shared the quiz link with my batchmates via WhatsApp and received responses from over fifteen of them, which I then analysed using Google Sheets to identify common knowledge gaps. This data-driven approach to peer education was a practical application of both digital literacy and basic data analysis skills, demonstrating that collaboration platforms are not just for coding — they are powerful tools for community learning and knowledge sharing.</w:t>
      </w:r>
    </w:p>
    <w:p>
      <w:pPr>
        <w:pStyle w:val="Heading2"/>
        <w:spacing w:before="360" w:after="140"/>
      </w:pPr>
      <w:r>
        <w:rPr>
          <w:rFonts w:ascii="Calibri" w:cs="Calibri" w:eastAsia="Calibri" w:hAnsi="Calibri"/>
          <w:b/>
          <w:bCs/>
          <w:color w:val="2E3A87"/>
          <w:sz w:val="28"/>
          <w:szCs w:val="28"/>
        </w:rPr>
        <w:t xml:space="preserve">Task 4: Communication &amp; Etiquette</w:t>
      </w:r>
    </w:p>
    <w:p>
      <w:pPr>
        <w:spacing w:before="0" w:after="160"/>
        <w:jc w:val="both"/>
      </w:pPr>
      <w:r>
        <w:rPr>
          <w:rFonts w:ascii="Calibri" w:cs="Calibri" w:eastAsia="Calibri" w:hAnsi="Calibri"/>
          <w:sz w:val="24"/>
          <w:szCs w:val="24"/>
        </w:rPr>
        <w:t xml:space="preserve">I drafted two professional emails: one requesting a deadline extension from a professor and another inquiring about a summer internship opportunity. I also compiled a social media checklist of 5 Do's and 5 Don'ts. A common communication problem occurs when students use informal "text-speak" in professional emails, which can lead to a lack of credibility. Using a clear subject line and a formal greeting ensures that the message is taken seriously.</w:t>
      </w:r>
    </w:p>
    <w:p>
      <w:pPr>
        <w:spacing w:before="0" w:after="160"/>
        <w:jc w:val="both"/>
      </w:pPr>
      <w:r>
        <w:rPr>
          <w:rFonts w:ascii="Calibri" w:cs="Calibri" w:eastAsia="Calibri" w:hAnsi="Calibri"/>
          <w:sz w:val="24"/>
          <w:szCs w:val="24"/>
        </w:rPr>
        <w:t xml:space="preserve">Professional communication is one of the most overlooked yet critical skills for engineering students. In an academic and corporate environment, the way you write an email can shape how a professor, mentor, or recruiter perceives your professionalism and maturity. For my deadline extension email, I paid careful attention to tone — being honest about the reason for my request without over-explaining, and expressing genuine appreciation for the professor's time. For the internship inquiry email, I focused on structure: a concise subject line, a brief self-introduction, a clear statement of purpose, and a formal closing with my contact details and LinkedIn profile link. I also learned the importance of proofreading — a single spelling or grammatical error in a professional email can significantly reduce the credibility of an otherwise strong message. The social media checklist I compiled reinforced the idea that digital etiquette extends beyond email: avoiding inflammatory language, not sharing unverified news, keeping personal and professional accounts separate, and being mindful of what you tag others in are all essential habits. Together, these exercises demonstrated that strong communication skills — whether written, digital, or interpersonal — are a fundamental pillar of professional digital literacy and career readiness.</w:t>
      </w:r>
    </w:p>
    <w:p>
      <w:pPr>
        <w:pStyle w:val="Heading2"/>
        <w:spacing w:before="360" w:after="140"/>
      </w:pPr>
      <w:r>
        <w:rPr>
          <w:rFonts w:ascii="Calibri" w:cs="Calibri" w:eastAsia="Calibri" w:hAnsi="Calibri"/>
          <w:b/>
          <w:bCs/>
          <w:color w:val="2E3A87"/>
          <w:sz w:val="28"/>
          <w:szCs w:val="28"/>
        </w:rPr>
        <w:t xml:space="preserve">Task 5: Cybercrime Awareness</w:t>
      </w:r>
    </w:p>
    <w:p>
      <w:pPr>
        <w:spacing w:before="0" w:after="160"/>
        <w:jc w:val="both"/>
      </w:pPr>
      <w:r>
        <w:rPr>
          <w:rFonts w:ascii="Calibri" w:cs="Calibri" w:eastAsia="Calibri" w:hAnsi="Calibri"/>
          <w:sz w:val="24"/>
          <w:szCs w:val="24"/>
        </w:rPr>
        <w:t xml:space="preserve">I researched a case study on Identity Theft, focusing on how social media impersonation is used to commit fraud. What surprised me most was how easily criminals can "clone" an account using only public information. As a result, I have changed my personal habit of keeping my social media profiles public and have now enabled strict privacy settings and Multi-Factor Authentication. My "Stay Safe Online" checklist and reporting guide are in the task-5-cybercrime/ folder.</w:t>
      </w:r>
    </w:p>
    <w:p>
      <w:pPr>
        <w:spacing w:before="0" w:after="160"/>
        <w:jc w:val="both"/>
      </w:pPr>
      <w:r>
        <w:rPr>
          <w:rFonts w:ascii="Calibri" w:cs="Calibri" w:eastAsia="Calibri" w:hAnsi="Calibri"/>
          <w:sz w:val="24"/>
          <w:szCs w:val="24"/>
        </w:rPr>
        <w:t xml:space="preserve">Cybercrime is one of the fastest-growing categories of criminal activity worldwide, and young students who are highly active on social media are among the most vulnerable targets. My research into identity theft revealed that attackers often do not need sophisticated technical skills — they simply harvest publicly available information from social media profiles, such as a person's full name, date of birth, hometown, educational institution, and profile photo, to create convincing fake accounts. These cloned accounts are then used to deceive friends and family members into transferring money or sharing sensitive information. One of the most alarming statistics I encountered was that a significant percentage of identity theft cases go unreported because victims are unaware of the formal reporting mechanisms available, such as the National Cyber Crime Reporting Portal at cybercrime.gov.in. In response to my research findings, I took immediate personal action: I switched all my social media profiles from public to private, reviewed the list of applications connected to my accounts, enabled Multi-Factor Authentication across all critical platforms including email, LinkedIn and GitHub, and set up login alerts so I am notified of any unusual access. This task was the most personally impactful of the five, as it directly changed my day-to-day digital behaviour and made me a more security-conscious individual.</w:t>
      </w:r>
    </w:p>
    <w:p>
      <w:pPr>
        <w:pStyle w:val="Heading2"/>
        <w:spacing w:before="360" w:after="140"/>
      </w:pPr>
      <w:r>
        <w:rPr>
          <w:rFonts w:ascii="Calibri" w:cs="Calibri" w:eastAsia="Calibri" w:hAnsi="Calibri"/>
          <w:b/>
          <w:bCs/>
          <w:color w:val="2E3A87"/>
          <w:sz w:val="28"/>
          <w:szCs w:val="28"/>
        </w:rPr>
        <w:t xml:space="preserve">Conclusion</w:t>
      </w:r>
    </w:p>
    <w:p>
      <w:pPr>
        <w:spacing w:before="0" w:after="160"/>
        <w:jc w:val="both"/>
      </w:pPr>
      <w:r>
        <w:rPr>
          <w:rFonts w:ascii="Calibri" w:cs="Calibri" w:eastAsia="Calibri" w:hAnsi="Calibri"/>
          <w:sz w:val="24"/>
          <w:szCs w:val="24"/>
        </w:rPr>
        <w:t xml:space="preserve">Completing this project has significantly improved my digital fluency. I have learned that being digitally literate is not just about using tools, but about using them responsibly, professionally, and securely. This portfolio will serve as a permanent record of my digital skills as I progress through my engineering degree.</w:t>
      </w:r>
    </w:p>
    <w:p>
      <w:pPr>
        <w:pStyle w:val="Heading2"/>
        <w:spacing w:before="360" w:after="140"/>
      </w:pPr>
      <w:r>
        <w:rPr>
          <w:rFonts w:ascii="Calibri" w:cs="Calibri" w:eastAsia="Calibri" w:hAnsi="Calibri"/>
          <w:b/>
          <w:bCs/>
          <w:color w:val="2E3A87"/>
          <w:sz w:val="28"/>
          <w:szCs w:val="28"/>
        </w:rPr>
        <w:t xml:space="preserve">References</w:t>
      </w:r>
    </w:p>
    <w:p>
      <w:pPr>
        <w:spacing w:before="60" w:after="80"/>
      </w:pPr>
      <w:r>
        <w:rPr>
          <w:rFonts w:ascii="Calibri" w:cs="Calibri" w:eastAsia="Calibri" w:hAnsi="Calibri"/>
          <w:sz w:val="24"/>
          <w:szCs w:val="24"/>
        </w:rPr>
        <w:t xml:space="preserve">• VITyarthi E-Learning Platform</w:t>
      </w:r>
    </w:p>
    <w:p>
      <w:pPr>
        <w:spacing w:before="0" w:after="80"/>
      </w:pPr>
      <w:r>
        <w:rPr>
          <w:rFonts w:ascii="Calibri" w:cs="Calibri" w:eastAsia="Calibri" w:hAnsi="Calibri"/>
          <w:sz w:val="24"/>
          <w:szCs w:val="24"/>
        </w:rPr>
        <w:t xml:space="preserve">• GitHub — https://github.com</w:t>
      </w:r>
    </w:p>
    <w:p>
      <w:pPr>
        <w:spacing w:before="0" w:after="80"/>
      </w:pPr>
      <w:r>
        <w:rPr>
          <w:rFonts w:ascii="Calibri" w:cs="Calibri" w:eastAsia="Calibri" w:hAnsi="Calibri"/>
          <w:sz w:val="24"/>
          <w:szCs w:val="24"/>
        </w:rPr>
        <w:t xml:space="preserve">• Canva — https://canva.com</w:t>
      </w:r>
    </w:p>
    <w:p>
      <w:pPr>
        <w:spacing w:before="0" w:after="80"/>
      </w:pPr>
      <w:r>
        <w:rPr>
          <w:rFonts w:ascii="Calibri" w:cs="Calibri" w:eastAsia="Calibri" w:hAnsi="Calibri"/>
          <w:sz w:val="24"/>
          <w:szCs w:val="24"/>
        </w:rPr>
        <w:t xml:space="preserve">• HackerRank — https://hackerrank.com</w:t>
      </w:r>
    </w:p>
    <w:p>
      <w:pPr>
        <w:spacing w:before="0" w:after="80"/>
      </w:pPr>
      <w:r>
        <w:rPr>
          <w:rFonts w:ascii="Calibri" w:cs="Calibri" w:eastAsia="Calibri" w:hAnsi="Calibri"/>
          <w:sz w:val="24"/>
          <w:szCs w:val="24"/>
        </w:rPr>
        <w:t xml:space="preserve">• National Cyber Crime Portal — https://cybercrime.gov.in</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VIT Bhopal University  |  CSE(AIML) — 1st Year  |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Digital Literacy Portfolio — Arsh Arun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jc w:val="center"/>
      <w:outlineLvl w:val="0"/>
    </w:pPr>
    <w:rPr>
      <w:rFonts w:ascii="Calibri" w:cs="Calibri" w:eastAsia="Calibri" w:hAnsi="Calibri"/>
      <w:b/>
      <w:bCs/>
      <w:color w:val="1A237E"/>
      <w:sz w:val="36"/>
      <w:szCs w:val="36"/>
    </w:rPr>
  </w:style>
  <w:style w:type="paragraph" w:styleId="Heading2">
    <w:name w:val="Heading 2"/>
    <w:basedOn w:val="Normal"/>
    <w:next w:val="Normal"/>
    <w:qFormat/>
    <w:pPr>
      <w:spacing w:before="320" w:after="140"/>
      <w:outlineLvl w:val="1"/>
    </w:pPr>
    <w:rPr>
      <w:rFonts w:ascii="Calibri" w:cs="Calibri" w:eastAsia="Calibri" w:hAnsi="Calibri"/>
      <w:b/>
      <w:bCs/>
      <w:color w:val="2E3A8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2026-03-31T06:57:29.700Z</dcterms:created>
  <dcterms:modified xsi:type="dcterms:W3CDTF">2026-03-31T06:57:29.700Z</dcterms:modified>
</cp:coreProperties>
</file>

<file path=docProps/custom.xml><?xml version="1.0" encoding="utf-8"?>
<Properties xmlns="http://schemas.openxmlformats.org/officeDocument/2006/custom-properties" xmlns:vt="http://schemas.openxmlformats.org/officeDocument/2006/docPropsVTypes"/>
</file>