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5F1C"/>
          <w:sz w:val="19"/>
        </w:rPr>
        <w:t>EXECUTIVE SUMMARY</w:t>
      </w:r>
    </w:p>
    <w:p>
      <w:pPr>
        <w:spacing w:before="80" w:after="160"/>
      </w:pPr>
      <w:r>
        <w:rPr>
          <w:b/>
          <w:color w:val="1B211F"/>
          <w:sz w:val="40"/>
        </w:rPr>
        <w:t>A Better Path for ISRA's Brushless 1/24 eCom Policy</w:t>
      </w:r>
    </w:p>
    <w:p>
      <w:pPr>
        <w:spacing w:after="320"/>
      </w:pPr>
      <w:r>
        <w:rPr>
          <w:i/>
          <w:color w:val="59635F"/>
          <w:sz w:val="21"/>
        </w:rPr>
        <w:t>For ISRA national representatives to raise with the ISRA technical committee. A longer background paper — covering the full history, the open/closed tradeoffs, and a draft charter — is available to support this discussion (ecom-standardization-charter.md / .docx in this repository).</w:t>
      </w:r>
    </w:p>
    <w:p>
      <w:pPr>
        <w:pBdr>
          <w:bottom w:val="single" w:sz="4" w:space="4" w:color="CCD5CF"/>
        </w:pBdr>
        <w:spacing w:after="80"/>
      </w:pPr>
    </w:p>
    <w:p>
      <w:pPr>
        <w:pStyle w:val="Heading1"/>
        <w:pBdr>
          <w:bottom w:val="single" w:sz="6" w:space="4" w:color="CCD5CF"/>
        </w:pBdr>
      </w:pPr>
      <w:r>
        <w:t>The issue</w:t>
      </w:r>
    </w:p>
    <w:p>
      <w:pPr>
        <w:spacing w:after="200"/>
      </w:pPr>
      <w:r>
        <w:rPr>
          <w:i w:val="0"/>
        </w:rPr>
        <w:t>ISRA is reportedly moving toward eliminating programmable eComs from brushless 1/24 production racing and permitting only closed, non-programmable solutions, on the reasoning that programmability is a fairness and scrutineering risk. This is the wrong fix for a real problem. It will not deliver the level playing field it's aiming for, and it will remove options — open and closed alike — that the sport needs at this stage of the technology's life.</w:t>
      </w:r>
    </w:p>
    <w:p>
      <w:pPr>
        <w:pStyle w:val="Heading1"/>
        <w:pBdr>
          <w:bottom w:val="single" w:sz="6" w:space="4" w:color="CCD5CF"/>
        </w:pBdr>
      </w:pPr>
      <w:r>
        <w:t>Why “closed-only” doesn't solve the actual problem</w:t>
      </w:r>
    </w:p>
    <w:p>
      <w:pPr>
        <w:pStyle w:val="ListBullet"/>
        <w:spacing w:after="180"/>
      </w:pPr>
      <w:r>
        <w:rPr>
          <w:b/>
          <w:i w:val="0"/>
        </w:rPr>
        <w:t xml:space="preserve">Closed doesn't mean non-programmable. </w:t>
      </w:r>
      <w:r>
        <w:rPr>
          <w:b w:val="0"/>
          <w:i w:val="0"/>
        </w:rPr>
        <w:t>Every eCom on the market today, closed ones included, ships with a vendor programmer that can retune timing advance and braking after the unit leaves the factory. Banning open/programmable designs doesn't remove field-tunability — it just moves the tuning behind a vendor's own closed tool, where it's harder for anyone but the vendor to see.</w:t>
      </w:r>
    </w:p>
    <w:p>
      <w:pPr>
        <w:pStyle w:val="ListBullet"/>
        <w:spacing w:after="180"/>
      </w:pPr>
      <w:r>
        <w:rPr>
          <w:b/>
          <w:i w:val="0"/>
        </w:rPr>
        <w:t xml:space="preserve">Closed doesn't mean fair. </w:t>
      </w:r>
      <w:r>
        <w:rPr>
          <w:b w:val="0"/>
          <w:i w:val="0"/>
        </w:rPr>
        <w:t>This isn't hypothetical: one sanctioning body currently permits two closed eComs side by side, and oscilloscope testing has already found they run measurably different timing advance and RPM ceilings. Two “approved,” non-open boards can still race under two different performance envelopes. A ban on programmability would not have caught this — only a measured spec would.</w:t>
      </w:r>
    </w:p>
    <w:p>
      <w:pPr>
        <w:pStyle w:val="ListBullet"/>
        <w:spacing w:after="180"/>
      </w:pPr>
      <w:r>
        <w:rPr>
          <w:b/>
          <w:i w:val="0"/>
        </w:rPr>
        <w:t xml:space="preserve">Closed doesn't mean scrutineerable. </w:t>
      </w:r>
      <w:r>
        <w:rPr>
          <w:b w:val="0"/>
          <w:i w:val="0"/>
        </w:rPr>
        <w:t>A closed, locked board can't be verified by inspection — two visually identical units can run different firmware or configuration, with no way to know without trusting the vendor's word. Eliminating programmable/open options doesn't fix this; it makes closed the only option, and removes the one class of eCom that scrutineers or independent parties can actually audit.</w:t>
      </w:r>
    </w:p>
    <w:p>
      <w:pPr>
        <w:pStyle w:val="ListBullet"/>
        <w:spacing w:after="180"/>
      </w:pPr>
      <w:r>
        <w:rPr>
          <w:b/>
          <w:i w:val="0"/>
        </w:rPr>
        <w:t xml:space="preserve">Closed-only concentrates risk. </w:t>
      </w:r>
      <w:r>
        <w:rPr>
          <w:b w:val="0"/>
          <w:i w:val="0"/>
        </w:rPr>
        <w:t>Restricting the field to closed vendors recreates a single- or few-vendor market: price control, supply risk if a manufacturer exits, and no fallback if a vendor's product turns out to be non-compliant. It also forecloses the kind of independent innovation that has already benefited the sport — a materially different, community-built firmware approach exists today specifically because an open hardware base allowed a third party to build it without needing anyone's permission.</w:t>
      </w:r>
    </w:p>
    <w:p>
      <w:pPr>
        <w:pStyle w:val="ListBullet"/>
        <w:spacing w:after="180"/>
      </w:pPr>
      <w:r>
        <w:rPr>
          <w:b/>
          <w:i w:val="0"/>
        </w:rPr>
        <w:t xml:space="preserve">The IP-protection rationale is weaker than it looks. </w:t>
      </w:r>
      <w:r>
        <w:rPr>
          <w:b w:val="0"/>
          <w:i w:val="0"/>
        </w:rPr>
        <w:t>Closed hardware is not hard to reverse-engineer, and silicon-level locking (RDP) protects only the firmware image, not the board design. In a market this size, formal IP enforcement is rarely worth pursuing anyway. Banning open designs to protect a business model that isn't actually well protected trades away real community benefits for a defense that doesn't hold up.</w:t>
      </w:r>
    </w:p>
    <w:p>
      <w:pPr>
        <w:pStyle w:val="Heading1"/>
        <w:pBdr>
          <w:bottom w:val="single" w:sz="6" w:space="4" w:color="CCD5CF"/>
        </w:pBdr>
      </w:pPr>
      <w:r>
        <w:t>What ISRA should do instead</w:t>
      </w:r>
    </w:p>
    <w:p>
      <w:pPr>
        <w:spacing w:after="200"/>
      </w:pPr>
      <w:r>
        <w:rPr>
          <w:i w:val="0"/>
        </w:rPr>
        <w:t>Regulate what an eCom does, not who is allowed to make it. Specifically:</w:t>
      </w:r>
    </w:p>
    <w:p>
      <w:pPr>
        <w:pStyle w:val="ListNumber"/>
        <w:spacing w:after="180"/>
      </w:pPr>
      <w:r>
        <w:rPr>
          <w:b/>
          <w:i w:val="0"/>
        </w:rPr>
        <w:t xml:space="preserve">Publish a detailed design spec </w:t>
      </w:r>
      <w:r>
        <w:rPr>
          <w:b w:val="0"/>
          <w:i w:val="0"/>
        </w:rPr>
        <w:t>— a performance envelope, not a single approved product — covering Ke/Kv range, timing advance, startup/sync behavior, duty-cycle limits, PWM frequency, braking behavior, minimum start voltage and low-voltage shutdown threshold, and required safety behavior.</w:t>
      </w:r>
    </w:p>
    <w:p>
      <w:pPr>
        <w:pStyle w:val="ListNumber"/>
        <w:spacing w:after="180"/>
      </w:pPr>
      <w:r>
        <w:rPr>
          <w:b/>
          <w:i w:val="0"/>
        </w:rPr>
        <w:t xml:space="preserve">Require every eCom, open or closed, hobbyist or commercial, to be homologated against that spec before racing </w:t>
      </w:r>
      <w:r>
        <w:rPr>
          <w:b w:val="0"/>
          <w:i w:val="0"/>
        </w:rPr>
        <w:t>— tested by measured behavior (a bench test and a fast trackside check), never by inspecting source code or firmware.</w:t>
      </w:r>
    </w:p>
    <w:p>
      <w:pPr>
        <w:pStyle w:val="ListNumber"/>
        <w:spacing w:after="180"/>
      </w:pPr>
      <w:r>
        <w:rPr>
          <w:b/>
          <w:i w:val="0"/>
        </w:rPr>
        <w:t xml:space="preserve">Maintain a public homologation register, </w:t>
      </w:r>
      <w:r>
        <w:rPr>
          <w:b w:val="0"/>
          <w:i w:val="0"/>
        </w:rPr>
        <w:t>and require re-homologation whenever a firmware update or field reconfiguration changes measured behavior, so “as shipped” and “as raced” stay the same question.</w:t>
      </w:r>
    </w:p>
    <w:p>
      <w:pPr>
        <w:spacing w:after="200"/>
      </w:pPr>
      <w:r>
        <w:rPr>
          <w:i w:val="0"/>
        </w:rPr>
        <w:t>This gets ISRA exactly what it's actually after — a level, verifiable playing field — without picking winners, without banning the open ecosystem that's produced real innovation, and without pretending closed hardware is a fairness guarantee it demonstrably isn't.</w:t>
      </w:r>
    </w:p>
    <w:p>
      <w:pPr>
        <w:spacing w:before="280" w:after="120"/>
        <w:ind w:left="283"/>
        <w:pBdr>
          <w:left w:val="single" w:sz="18" w:space="10" w:color="A85F1C"/>
        </w:pBdr>
      </w:pPr>
      <w:r>
        <w:rPr>
          <w:b/>
          <w:color w:val="A85F1C"/>
          <w:sz w:val="18"/>
        </w:rPr>
        <w:t>THE ASK</w:t>
        <w:br/>
      </w:r>
      <w:r>
        <w:rPr>
          <w:sz w:val="21"/>
        </w:rPr>
        <w:t>Ask ISRA's technical committee to commit to drafting a design spec and a conformance/scrutineering test for brushless 1/24 eComs, with a working group that includes both open and closed manufacturers, before adopting any rule that restricts eComs by vendor or by whether they are programmable.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12" w:lineRule="auto"/>
    </w:pPr>
    <w:rPr>
      <w:rFonts w:ascii="Calibri" w:hAnsi="Calibri"/>
      <w:color w:val="1B21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B21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