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85F1C"/>
          <w:sz w:val="19"/>
        </w:rPr>
        <w:t>DISCUSSION PAPER &amp; DRAFT CHARTER</w:t>
      </w:r>
    </w:p>
    <w:p>
      <w:pPr>
        <w:spacing w:before="80" w:after="120"/>
      </w:pPr>
      <w:r>
        <w:rPr>
          <w:b/>
          <w:color w:val="1B211F"/>
          <w:sz w:val="48"/>
        </w:rPr>
        <w:t>Standardizing the Slot Car Brushless Electronic Commutator</w:t>
      </w:r>
    </w:p>
    <w:p>
      <w:pPr>
        <w:spacing w:after="200"/>
      </w:pPr>
      <w:r>
        <w:rPr>
          <w:i w:val="0"/>
          <w:color w:val="59635F"/>
          <w:sz w:val="24"/>
        </w:rPr>
        <w:t>A framing document for BSCRA, ISRA, affiliated national bodies, eCom developers, manufacturers, and racers — written to argue about a fixed target instead of past each other.</w:t>
      </w:r>
    </w:p>
    <w:p>
      <w:pPr>
        <w:spacing w:after="80"/>
      </w:pPr>
      <w:r>
        <w:rPr>
          <w:i/>
          <w:color w:val="59635F"/>
          <w:sz w:val="19"/>
        </w:rPr>
        <w:t>Version 0.1 — draft for community comment. This paper does not represent a ratified position of any organization named in it.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7EBE8"/>
          </w:tcPr>
          <w:p>
            <w:r/>
            <w:r>
              <w:rPr>
                <w:b/>
                <w:color w:val="1B211F"/>
                <w:sz w:val="19"/>
              </w:rPr>
              <w:t>SCOPE</w:t>
            </w:r>
          </w:p>
        </w:tc>
        <w:tc>
          <w:tcPr>
            <w:tcW w:type="dxa" w:w="3135"/>
            <w:shd w:val="clear" w:color="auto" w:fill="E7EBE8"/>
          </w:tcPr>
          <w:p>
            <w:r/>
            <w:r>
              <w:rPr>
                <w:b/>
                <w:color w:val="1B211F"/>
                <w:sz w:val="19"/>
              </w:rPr>
              <w:t>STATUS</w:t>
            </w:r>
          </w:p>
        </w:tc>
        <w:tc>
          <w:tcPr>
            <w:tcW w:type="dxa" w:w="3135"/>
            <w:shd w:val="clear" w:color="auto" w:fill="E7EBE8"/>
          </w:tcPr>
          <w:p>
            <w:r/>
            <w:r>
              <w:rPr>
                <w:b/>
                <w:color w:val="1B211F"/>
                <w:sz w:val="19"/>
              </w:rPr>
              <w:t>HORIZON</w:t>
            </w:r>
          </w:p>
        </w:tc>
      </w:tr>
      <w:tr>
        <w:tc>
          <w:tcPr>
            <w:tcW w:type="dxa" w:w="3135"/>
          </w:tcPr>
          <w:p>
            <w:r/>
            <w:r>
              <w:rPr>
                <w:b/>
                <w:sz w:val="19"/>
              </w:rPr>
              <w:t>Brushless eCom governance</w:t>
            </w:r>
          </w:p>
        </w:tc>
        <w:tc>
          <w:tcPr>
            <w:tcW w:type="dxa" w:w="3135"/>
          </w:tcPr>
          <w:p>
            <w:r/>
            <w:r>
              <w:rPr>
                <w:sz w:val="19"/>
              </w:rPr>
              <w:t>Open for consensus</w:t>
            </w:r>
          </w:p>
        </w:tc>
        <w:tc>
          <w:tcPr>
            <w:tcW w:type="dxa" w:w="3135"/>
          </w:tcPr>
          <w:p>
            <w:r/>
            <w:r>
              <w:rPr>
                <w:sz w:val="19"/>
              </w:rPr>
              <w:t>2021 – 2026</w:t>
            </w:r>
          </w:p>
        </w:tc>
      </w:tr>
    </w:tbl>
    <w:p>
      <w:pPr>
        <w:spacing w:after="80"/>
      </w:pPr>
    </w:p>
    <w:p>
      <w:pPr>
        <w:pBdr>
          <w:bottom w:val="single" w:sz="4" w:space="4" w:color="CCD5CF"/>
        </w:pBdr>
        <w:spacing w:after="80"/>
      </w:pPr>
    </w:p>
    <w:p>
      <w:pPr>
        <w:pStyle w:val="Heading1"/>
        <w:pBdr>
          <w:bottom w:val="single" w:sz="6" w:space="4" w:color="CCD5CF"/>
        </w:pBdr>
      </w:pPr>
      <w:r>
        <w:t>1. Purpose of this paper</w:t>
      </w:r>
    </w:p>
    <w:p>
      <w:pPr>
        <w:spacing w:after="200"/>
      </w:pPr>
      <w:r>
        <w:rPr>
          <w:i w:val="0"/>
        </w:rPr>
        <w:t>Brushless motors and the electronic commutators (eComs) that drive them have moved, in the space of about four years, from a garage experiment to a technology present in a majority of cars at the top level of international competition. That speed of adoption has outrun the governance structures — rules, scrutineering procedures, and licensing norms — that slot car racing built around brushed motors over the preceding six decades.</w:t>
      </w:r>
    </w:p>
    <w:p>
      <w:pPr>
        <w:spacing w:after="200"/>
      </w:pPr>
      <w:r>
        <w:rPr>
          <w:i w:val="0"/>
        </w:rPr>
        <w:t>This paper has three goals:</w:t>
      </w:r>
    </w:p>
    <w:p>
      <w:pPr>
        <w:pStyle w:val="ListNumber"/>
        <w:spacing w:after="120"/>
      </w:pPr>
      <w:r>
        <w:rPr>
          <w:b/>
          <w:i w:val="0"/>
        </w:rPr>
        <w:t xml:space="preserve">Record the history </w:t>
      </w:r>
      <w:r>
        <w:rPr>
          <w:b w:val="0"/>
          <w:i w:val="0"/>
        </w:rPr>
        <w:t>accurately enough that newcomers to the debate understand why the community is split into open and closed camps, and why that split is not simply a matter of taste.</w:t>
      </w:r>
    </w:p>
    <w:p>
      <w:pPr>
        <w:pStyle w:val="ListNumber"/>
        <w:spacing w:after="120"/>
      </w:pPr>
      <w:r>
        <w:rPr>
          <w:b/>
          <w:i w:val="0"/>
        </w:rPr>
        <w:t xml:space="preserve">Lay out the open-vs-closed tradeoff </w:t>
      </w:r>
      <w:r>
        <w:rPr>
          <w:b w:val="0"/>
          <w:i w:val="0"/>
        </w:rPr>
        <w:t>— technical, commercial, and competitive — without pretending one side is obviously right.</w:t>
      </w:r>
    </w:p>
    <w:p>
      <w:pPr>
        <w:pStyle w:val="ListNumber"/>
        <w:spacing w:after="120"/>
      </w:pPr>
      <w:r>
        <w:rPr>
          <w:b/>
          <w:i w:val="0"/>
        </w:rPr>
        <w:t xml:space="preserve">Propose a working model </w:t>
      </w:r>
      <w:r>
        <w:rPr>
          <w:b w:val="0"/>
          <w:i w:val="0"/>
        </w:rPr>
        <w:t>— a published design spec with independent, multi-vendor homologation against it — that a technical working group under BSCRA and ISRA could adopt, and pose the open questions that group still needs to resolve.</w:t>
      </w:r>
    </w:p>
    <w:p>
      <w:pPr>
        <w:spacing w:after="200"/>
      </w:pPr>
      <w:r>
        <w:rPr>
          <w:i w:val="0"/>
        </w:rPr>
        <w:t>Nothing here is a rule. It is an attempt to get everyone arguing about the same facts.</w:t>
      </w:r>
    </w:p>
    <w:p>
      <w:pPr>
        <w:pStyle w:val="Heading1"/>
        <w:pBdr>
          <w:bottom w:val="single" w:sz="6" w:space="4" w:color="CCD5CF"/>
        </w:pBdr>
      </w:pPr>
      <w:r>
        <w:t>2. Background</w:t>
      </w:r>
    </w:p>
    <w:p>
      <w:pPr>
        <w:spacing w:after="200"/>
      </w:pPr>
      <w:r>
        <w:rPr>
          <w:i w:val="0"/>
        </w:rPr>
        <w:t>A conventional slot car motor is a brushed DC motor: apply a voltage, current flows through the brushes and commutator, the motor turns proportionally to that voltage, and the driver's controller is the throttle. A brushless motor has no brushes — it needs an external circuit to sequence current through its three phases, sense or estimate rotor position, and translate the driver's track voltage into the right commutation pattern. That circuit is the eCom (electronic commutator), directly descended from the electronic speed controllers (ESCs) used in radio-control aircraft and drones, but adapted to work transparently with a standard analog slot car hand controller rather than an RC-style PWM throttle signal.</w:t>
      </w:r>
    </w:p>
    <w:p>
      <w:pPr>
        <w:spacing w:before="200" w:after="280"/>
        <w:ind w:left="283"/>
        <w:pBdr>
          <w:left w:val="single" w:sz="18" w:space="10" w:color="A85F1C"/>
        </w:pBdr>
      </w:pPr>
      <w:r>
        <w:rPr>
          <w:b/>
          <w:color w:val="A85F1C"/>
          <w:sz w:val="18"/>
        </w:rPr>
        <w:t>THE GOVERNANCE PROBLEM, IN ONE SENTENCE</w:t>
        <w:br/>
      </w:r>
      <w:r>
        <w:rPr>
          <w:sz w:val="21"/>
        </w:rPr>
        <w:t>A brushed motor is a passive, fully-characterized piece of copper and magnets that scrutineers can measure directly; an eCom is a piece of firmware that decides, in software, how the car behaves. Two eComs built on identical silicon can behave completely differently depending on what code is running on them — and unlike a motor's winding count or magnet grade, firmware is not something you can check with a vernier caliper.</w:t>
      </w:r>
    </w:p>
    <w:p>
      <w:pPr>
        <w:pStyle w:val="Heading1"/>
        <w:pBdr>
          <w:bottom w:val="single" w:sz="6" w:space="4" w:color="CCD5CF"/>
        </w:pBdr>
      </w:pPr>
      <w:r>
        <w:t>3. History, 2021–2026</w:t>
      </w:r>
    </w:p>
    <w:p>
      <w:pPr>
        <w:pStyle w:val="Heading3"/>
      </w:pPr>
      <w:r>
        <w:t>2021 — Budge / Mack / Smits (the “SBM” origin)</w:t>
      </w:r>
    </w:p>
    <w:p>
      <w:pPr>
        <w:spacing w:after="200"/>
      </w:pPr>
      <w:r>
        <w:rPr>
          <w:i w:val="0"/>
        </w:rPr>
        <w:t>Bob Budge and Richard Mack were the first to campaign brushless-powered cars competitively at a level close to brushed pace, with Budge reaching national finals. The boards they raced were designed by Peter Smits, a Canadian electronics designer whose background was in ESCs for multirotor drones, adapted specifically for slot racing so the car could still be driven from a normal analog hand controller. This SBM effort is the common ancestor of essentially everything that followed: it proved the concept, and set the template — closed hardware, with firmware that is semi-open in the sense that Smits has engaged with the community on behavior and tuning, but the boards themselves are not open for cloning or independent audit.</w:t>
      </w:r>
    </w:p>
    <w:p>
      <w:pPr>
        <w:pStyle w:val="Heading3"/>
      </w:pPr>
      <w:r>
        <w:t>2022–2023 — Remora (open source)</w:t>
      </w:r>
    </w:p>
    <w:p>
      <w:pPr>
        <w:spacing w:after="200"/>
      </w:pPr>
      <w:r>
        <w:rPr>
          <w:i w:val="0"/>
        </w:rPr>
        <w:t>A parallel open-source effort produced the Remora eCom, publishing full KiCad hardware designs and pairing them with ESCape32, an open-source firmware also used elsewhere in the small-electric-motor hobby world. Remora's own framing of its licensing is worth quoting because it captures a nuance that “open source” doesn't automatically resolve: the designs are described as “open but not free” — released under a modified Creative Commons license that lets anyone build their own board from the published files, but reserves the IP, expects commercial sellers to negotiate royalties with the originators, and excludes military use. This is Remora 1: schematics, PCB layout, bill of materials, and firmware all public.</w:t>
      </w:r>
    </w:p>
    <w:p>
      <w:pPr>
        <w:spacing w:after="200"/>
      </w:pPr>
      <w:r>
        <w:rPr>
          <w:i w:val="0"/>
        </w:rPr>
        <w:t>Remora 2 narrowed what “open” means in a commercially useful direction. Rather than publishing full design-tool source files, it publishes Gerber / manufacturing files — enough for anyone to get boards fabricated and populated — while formalizing a licensing path for commercial sellers. The distinction matters: Remora 1 maximizes hobbyist reproducibility at the cost of making it hard for any single seller to build a sustainable business; Remora 2 keeps the transparency while giving legitimate manufacturers a licensed, revenue-supporting route to sell finished, warrantied product.</w:t>
      </w:r>
    </w:p>
    <w:p>
      <w:pPr>
        <w:pStyle w:val="Heading3"/>
      </w:pPr>
      <w:r>
        <w:t>Latslot (closed)</w:t>
      </w:r>
    </w:p>
    <w:p>
      <w:pPr>
        <w:spacing w:after="200"/>
      </w:pPr>
      <w:r>
        <w:rPr>
          <w:i w:val="0"/>
        </w:rPr>
        <w:t>A further, fully closed effort — hardware and firmware both proprietary, no published design files, sold as a finished product with no path for independent reproduction or code audit. Whatever the technical merits, from a governance standpoint Latslot represents the opposite pole from Remora 1: a black box that racers and scrutineers must trust rather than verify.</w:t>
      </w:r>
    </w:p>
    <w:p>
      <w:pPr>
        <w:pStyle w:val="Heading3"/>
      </w:pPr>
      <w:r>
        <w:t>2023–2024 — ISRA Eurosport adoption</w:t>
      </w:r>
    </w:p>
    <w:p>
      <w:pPr>
        <w:spacing w:after="200"/>
      </w:pPr>
      <w:r>
        <w:rPr>
          <w:i w:val="0"/>
        </w:rPr>
        <w:t>Brushless power moved from experimental to dominant at the top of international competition strikingly fast: roughly 60% of cars at the 2023 ISRA Worlds (New Jersey) ran brushless, and by the 2024 ISRA Worlds (Italy) essentially the entire field, in both 1/24 and 1/32, was brushless. This is the point at which eCom standardization stopped being a hobbyist curiosity and became an urgent governance question, because a technology that determines the outcome of a world championship cannot be left unscrutineered.</w:t>
      </w:r>
    </w:p>
    <w:p>
      <w:pPr>
        <w:pStyle w:val="Heading3"/>
      </w:pPr>
      <w:r>
        <w:t>2025–2026 — BSCRA Intro-class adoption and the scrutineering gap</w:t>
      </w:r>
    </w:p>
    <w:p>
      <w:pPr>
        <w:spacing w:after="200"/>
      </w:pPr>
      <w:r>
        <w:rPr>
          <w:i w:val="0"/>
        </w:rPr>
        <w:t>BSCRA's members voted to permit brushless motors in the Intro 32 class, mandating a specific motor (the Parma 3000kV) while leaving the eCom question comparatively open. This immediately exposed the gap this paper is about: a mandated, physically-inspectable motor paired with an eCom whose behavior is defined entirely by firmware that scrutineers have no standard way to verify quickly, non-destructively, at a race meeting.</w:t>
      </w:r>
    </w:p>
    <w:p>
      <w:pPr>
        <w:pStyle w:val="Heading3"/>
      </w:pPr>
      <w:r>
        <w:t>2025 — MidAmerica Trixie 2, and one developer spanning the whole spectrum</w:t>
      </w:r>
    </w:p>
    <w:p>
      <w:pPr>
        <w:spacing w:after="200"/>
      </w:pPr>
      <w:r>
        <w:rPr>
          <w:i w:val="0"/>
        </w:rPr>
        <w:t>The same team behind Remora 1 and Remora 2 — AART — also designed the MidAmerica Trixie 2, a board built specifically for BSCRA's Genesis racing program. Where Remora is open, Trixie 2 is the opposite: completely closed and single-sourced, with the microcontroller fully locked at RDP Level 2 (see §7) and no published design files, firmware, or manufacturing route for anyone else to build one. AART has separately developed a comparable board for Slot.it — closed today, but designed with the explicit possibility of being open-sourced later.</w:t>
      </w:r>
    </w:p>
    <w:p>
      <w:pPr>
        <w:spacing w:after="200"/>
      </w:pPr>
      <w:r>
        <w:rPr>
          <w:i w:val="0"/>
        </w:rPr>
        <w:t>This matters for the standardization debate because it undercuts the assumption that “open” and “closed” map onto fixed ideological camps or competing companies. AART has, within a few years, shipped a fully open design (Remora 1), an open-manufacturing/licensed-commercial design (Remora 2), a fully closed single-source design built to a specific governing body's brief (Trixie 2), and a closed-but-potentially-opening design (the Slot.it board). The model tracks the commercial context of each engagement — a hobbyist community project, a licensed product line, a bespoke commission for a national body's control-part program — not a settled belief about which model is “correct.” That is direct evidence for the position this paper takes in §6: the standard should regulate behavior, not business model, because even a single developer is demonstrably willing to work under any of them depending on who is asking and what they need.</w:t>
      </w:r>
    </w:p>
    <w:p>
      <w:pPr>
        <w:pStyle w:val="Heading3"/>
      </w:pPr>
      <w:r>
        <w:t>The scrutineering proposal (this repository)</w:t>
      </w:r>
    </w:p>
    <w:p>
      <w:pPr>
        <w:spacing w:after="200"/>
      </w:pPr>
      <w:r>
        <w:rPr>
          <w:i w:val="0"/>
        </w:rPr>
        <w:t>In parallel, a proposal for a trackside measurement device — a Hall-effect tachometer that measures unloaded motor speed at two or three fixed supply voltages to derive the motor/eCom combination's back-EMF constant, Ke — was put forward specifically to solve the “how do we scrutineer a black box quickly” problem without reading firmware at all. Its central insight is important enough to restate here: because eCom and motor winding resistance are small relative to total circuit resistance, and because Ke = Kt in consistent SI units, a simple speed-vs-voltage measurement is sufficient to catch an eCom/motor combination that is out of spec, regardless of what code is running inside it, or whether that code can be read at all. This is the technical key that makes “closed firmware is fine as long as behavior is bounded and externally measurable” a workable position rather than wishful thinking — see §6.</w:t>
      </w:r>
    </w:p>
    <w:p>
      <w:pPr>
        <w:pStyle w:val="Heading1"/>
        <w:pBdr>
          <w:bottom w:val="single" w:sz="6" w:space="4" w:color="CCD5CF"/>
        </w:pBdr>
      </w:pPr>
      <w:r>
        <w:t>4. Open vs. closed: the real tradeoff</w:t>
      </w:r>
    </w:p>
    <w:p>
      <w:pPr>
        <w:spacing w:after="200"/>
      </w:pPr>
      <w:r>
        <w:rPr>
          <w:i w:val="0"/>
        </w:rPr>
        <w:t>It is tempting to frame this as open-source idealism versus corporate self-interest. That framing is wrong and will poison the working group's consensus-building if it takes hold. Every position in this space is a rational response to a real constraint.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E7EBE8"/>
          </w:tcPr>
          <w:p>
            <w:r/>
            <w:r>
              <w:rPr>
                <w:b/>
                <w:color w:val="1B211F"/>
                <w:sz w:val="19"/>
              </w:rPr>
            </w:r>
          </w:p>
        </w:tc>
        <w:tc>
          <w:tcPr>
            <w:tcW w:type="dxa" w:w="1568"/>
            <w:shd w:val="clear" w:color="auto" w:fill="E7EBE8"/>
          </w:tcPr>
          <w:p>
            <w:r/>
            <w:r>
              <w:rPr>
                <w:b/>
                <w:color w:val="1B211F"/>
                <w:sz w:val="19"/>
              </w:rPr>
              <w:t>Remora 1</w:t>
              <w:br/>
              <w:t>fully open</w:t>
            </w:r>
          </w:p>
        </w:tc>
        <w:tc>
          <w:tcPr>
            <w:tcW w:type="dxa" w:w="1568"/>
            <w:shd w:val="clear" w:color="auto" w:fill="E7EBE8"/>
          </w:tcPr>
          <w:p>
            <w:r/>
            <w:r>
              <w:rPr>
                <w:b/>
                <w:color w:val="1B211F"/>
                <w:sz w:val="19"/>
              </w:rPr>
              <w:t>Remora 2</w:t>
              <w:br/>
              <w:t>open mfg + licensed</w:t>
            </w:r>
          </w:p>
        </w:tc>
        <w:tc>
          <w:tcPr>
            <w:tcW w:type="dxa" w:w="1568"/>
            <w:shd w:val="clear" w:color="auto" w:fill="E7EBE8"/>
          </w:tcPr>
          <w:p>
            <w:r/>
            <w:r>
              <w:rPr>
                <w:b/>
                <w:color w:val="1B211F"/>
                <w:sz w:val="19"/>
              </w:rPr>
              <w:t>SBM</w:t>
              <w:br/>
              <w:t>closed hw</w:t>
            </w:r>
          </w:p>
        </w:tc>
        <w:tc>
          <w:tcPr>
            <w:tcW w:type="dxa" w:w="1568"/>
            <w:shd w:val="clear" w:color="auto" w:fill="E7EBE8"/>
          </w:tcPr>
          <w:p>
            <w:r/>
            <w:r>
              <w:rPr>
                <w:b/>
                <w:color w:val="1B211F"/>
                <w:sz w:val="19"/>
              </w:rPr>
              <w:t>Latslot</w:t>
              <w:br/>
              <w:t>fully closed</w:t>
            </w:r>
          </w:p>
        </w:tc>
        <w:tc>
          <w:tcPr>
            <w:tcW w:type="dxa" w:w="1568"/>
            <w:shd w:val="clear" w:color="auto" w:fill="E7EBE8"/>
          </w:tcPr>
          <w:p>
            <w:r/>
            <w:r>
              <w:rPr>
                <w:b/>
                <w:color w:val="1B211F"/>
                <w:sz w:val="19"/>
              </w:rPr>
              <w:t>Trixie 2</w:t>
              <w:br/>
              <w:t>AART, closed, single-source</w:t>
            </w:r>
          </w:p>
        </w:tc>
      </w:tr>
      <w:tr>
        <w:tc>
          <w:tcPr>
            <w:tcW w:type="dxa" w:w="1568"/>
          </w:tcPr>
          <w:p>
            <w:r/>
            <w:r>
              <w:rPr>
                <w:b/>
                <w:sz w:val="19"/>
              </w:rPr>
              <w:t>Hardware files</w:t>
            </w:r>
          </w:p>
        </w:tc>
        <w:tc>
          <w:tcPr>
            <w:tcW w:type="dxa" w:w="1568"/>
          </w:tcPr>
          <w:p>
            <w:r/>
            <w:r>
              <w:rPr>
                <w:sz w:val="19"/>
              </w:rPr>
              <w:t>Full schematic + PCB source</w:t>
            </w:r>
          </w:p>
        </w:tc>
        <w:tc>
          <w:tcPr>
            <w:tcW w:type="dxa" w:w="1568"/>
          </w:tcPr>
          <w:p>
            <w:r/>
            <w:r>
              <w:rPr>
                <w:sz w:val="19"/>
              </w:rPr>
              <w:t>Gerbers published; source not</w:t>
            </w:r>
          </w:p>
        </w:tc>
        <w:tc>
          <w:tcPr>
            <w:tcW w:type="dxa" w:w="1568"/>
          </w:tcPr>
          <w:p>
            <w:r/>
            <w:r>
              <w:rPr>
                <w:sz w:val="19"/>
              </w:rPr>
              <w:t>Proprietary</w:t>
            </w:r>
          </w:p>
        </w:tc>
        <w:tc>
          <w:tcPr>
            <w:tcW w:type="dxa" w:w="1568"/>
          </w:tcPr>
          <w:p>
            <w:r/>
            <w:r>
              <w:rPr>
                <w:sz w:val="19"/>
              </w:rPr>
              <w:t>Proprietary</w:t>
            </w:r>
          </w:p>
        </w:tc>
        <w:tc>
          <w:tcPr>
            <w:tcW w:type="dxa" w:w="1568"/>
          </w:tcPr>
          <w:p>
            <w:r/>
            <w:r>
              <w:rPr>
                <w:sz w:val="19"/>
              </w:rPr>
              <w:t>Proprietary</w:t>
            </w:r>
          </w:p>
        </w:tc>
      </w:tr>
      <w:tr>
        <w:tc>
          <w:tcPr>
            <w:tcW w:type="dxa" w:w="1568"/>
          </w:tcPr>
          <w:p>
            <w:r/>
            <w:r>
              <w:rPr>
                <w:b/>
                <w:sz w:val="19"/>
              </w:rPr>
              <w:t>Firmware</w:t>
            </w:r>
          </w:p>
        </w:tc>
        <w:tc>
          <w:tcPr>
            <w:tcW w:type="dxa" w:w="1568"/>
          </w:tcPr>
          <w:p>
            <w:r/>
            <w:r>
              <w:rPr>
                <w:sz w:val="19"/>
              </w:rPr>
              <w:t>Open source (ESCape32)</w:t>
            </w:r>
          </w:p>
        </w:tc>
        <w:tc>
          <w:tcPr>
            <w:tcW w:type="dxa" w:w="1568"/>
          </w:tcPr>
          <w:p>
            <w:r/>
            <w:r>
              <w:rPr>
                <w:sz w:val="19"/>
              </w:rPr>
              <w:t>Open source (ESCape32)</w:t>
            </w:r>
          </w:p>
        </w:tc>
        <w:tc>
          <w:tcPr>
            <w:tcW w:type="dxa" w:w="1568"/>
          </w:tcPr>
          <w:p>
            <w:r/>
            <w:r>
              <w:rPr>
                <w:sz w:val="19"/>
              </w:rPr>
              <w:t>Closed, discussed publicly</w:t>
            </w:r>
          </w:p>
        </w:tc>
        <w:tc>
          <w:tcPr>
            <w:tcW w:type="dxa" w:w="1568"/>
          </w:tcPr>
          <w:p>
            <w:r/>
            <w:r>
              <w:rPr>
                <w:sz w:val="19"/>
              </w:rPr>
              <w:t>Closed, undisclosed</w:t>
            </w:r>
          </w:p>
        </w:tc>
        <w:tc>
          <w:tcPr>
            <w:tcW w:type="dxa" w:w="1568"/>
          </w:tcPr>
          <w:p>
            <w:r/>
            <w:r>
              <w:rPr>
                <w:sz w:val="19"/>
              </w:rPr>
              <w:t>Closed, RDP Level 2 locked</w:t>
            </w:r>
          </w:p>
        </w:tc>
      </w:tr>
      <w:tr>
        <w:tc>
          <w:tcPr>
            <w:tcW w:type="dxa" w:w="1568"/>
          </w:tcPr>
          <w:p>
            <w:r/>
            <w:r>
              <w:rPr>
                <w:b/>
                <w:sz w:val="19"/>
              </w:rPr>
              <w:t>Who can build one</w:t>
            </w:r>
          </w:p>
        </w:tc>
        <w:tc>
          <w:tcPr>
            <w:tcW w:type="dxa" w:w="1568"/>
          </w:tcPr>
          <w:p>
            <w:r/>
            <w:r>
              <w:rPr>
                <w:sz w:val="19"/>
              </w:rPr>
              <w:t>Anyone with a fab</w:t>
            </w:r>
          </w:p>
        </w:tc>
        <w:tc>
          <w:tcPr>
            <w:tcW w:type="dxa" w:w="1568"/>
          </w:tcPr>
          <w:p>
            <w:r/>
            <w:r>
              <w:rPr>
                <w:sz w:val="19"/>
              </w:rPr>
              <w:t>Anyone; resale expects a license</w:t>
            </w:r>
          </w:p>
        </w:tc>
        <w:tc>
          <w:tcPr>
            <w:tcW w:type="dxa" w:w="1568"/>
          </w:tcPr>
          <w:p>
            <w:r/>
            <w:r>
              <w:rPr>
                <w:sz w:val="19"/>
              </w:rPr>
              <w:t>Originating team / licensees</w:t>
            </w:r>
          </w:p>
        </w:tc>
        <w:tc>
          <w:tcPr>
            <w:tcW w:type="dxa" w:w="1568"/>
          </w:tcPr>
          <w:p>
            <w:r/>
            <w:r>
              <w:rPr>
                <w:sz w:val="19"/>
              </w:rPr>
              <w:t>Manufacturer only</w:t>
            </w:r>
          </w:p>
        </w:tc>
        <w:tc>
          <w:tcPr>
            <w:tcW w:type="dxa" w:w="1568"/>
          </w:tcPr>
          <w:p>
            <w:r/>
            <w:r>
              <w:rPr>
                <w:sz w:val="19"/>
              </w:rPr>
              <w:t>AART only, by commission</w:t>
            </w:r>
          </w:p>
        </w:tc>
      </w:tr>
      <w:tr>
        <w:tc>
          <w:tcPr>
            <w:tcW w:type="dxa" w:w="1568"/>
          </w:tcPr>
          <w:p>
            <w:r/>
            <w:r>
              <w:rPr>
                <w:b/>
                <w:sz w:val="19"/>
              </w:rPr>
              <w:t>Independent audit</w:t>
            </w:r>
          </w:p>
        </w:tc>
        <w:tc>
          <w:tcPr>
            <w:tcW w:type="dxa" w:w="1568"/>
          </w:tcPr>
          <w:p>
            <w:r/>
            <w:r>
              <w:rPr>
                <w:sz w:val="19"/>
              </w:rPr>
              <w:t>Yes, fully</w:t>
            </w:r>
          </w:p>
        </w:tc>
        <w:tc>
          <w:tcPr>
            <w:tcW w:type="dxa" w:w="1568"/>
          </w:tcPr>
          <w:p>
            <w:r/>
            <w:r>
              <w:rPr>
                <w:sz w:val="19"/>
              </w:rPr>
              <w:t>Yes, board-level + firmware</w:t>
            </w:r>
          </w:p>
        </w:tc>
        <w:tc>
          <w:tcPr>
            <w:tcW w:type="dxa" w:w="1568"/>
          </w:tcPr>
          <w:p>
            <w:r/>
            <w:r>
              <w:rPr>
                <w:sz w:val="19"/>
              </w:rPr>
              <w:t>No</w:t>
            </w:r>
          </w:p>
        </w:tc>
        <w:tc>
          <w:tcPr>
            <w:tcW w:type="dxa" w:w="1568"/>
          </w:tcPr>
          <w:p>
            <w:r/>
            <w:r>
              <w:rPr>
                <w:sz w:val="19"/>
              </w:rPr>
              <w:t>No</w:t>
            </w:r>
          </w:p>
        </w:tc>
        <w:tc>
          <w:tcPr>
            <w:tcW w:type="dxa" w:w="1568"/>
          </w:tcPr>
          <w:p>
            <w:r/>
            <w:r>
              <w:rPr>
                <w:sz w:val="19"/>
              </w:rPr>
              <w:t>No</w:t>
            </w:r>
          </w:p>
        </w:tc>
      </w:tr>
      <w:tr>
        <w:tc>
          <w:tcPr>
            <w:tcW w:type="dxa" w:w="1568"/>
          </w:tcPr>
          <w:p>
            <w:r/>
            <w:r>
              <w:rPr>
                <w:b/>
                <w:sz w:val="19"/>
              </w:rPr>
              <w:t>Revenue model</w:t>
            </w:r>
          </w:p>
        </w:tc>
        <w:tc>
          <w:tcPr>
            <w:tcW w:type="dxa" w:w="1568"/>
          </w:tcPr>
          <w:p>
            <w:r/>
            <w:r>
              <w:rPr>
                <w:sz w:val="19"/>
              </w:rPr>
              <w:t>Voluntary royalty, weak enforcement</w:t>
            </w:r>
          </w:p>
        </w:tc>
        <w:tc>
          <w:tcPr>
            <w:tcW w:type="dxa" w:w="1568"/>
          </w:tcPr>
          <w:p>
            <w:r/>
            <w:r>
              <w:rPr>
                <w:sz w:val="19"/>
              </w:rPr>
              <w:t>Licensed manufacture</w:t>
            </w:r>
          </w:p>
        </w:tc>
        <w:tc>
          <w:tcPr>
            <w:tcW w:type="dxa" w:w="1568"/>
          </w:tcPr>
          <w:p>
            <w:r/>
            <w:r>
              <w:rPr>
                <w:sz w:val="19"/>
              </w:rPr>
              <w:t>Direct sales, margin-funded</w:t>
            </w:r>
          </w:p>
        </w:tc>
        <w:tc>
          <w:tcPr>
            <w:tcW w:type="dxa" w:w="1568"/>
          </w:tcPr>
          <w:p>
            <w:r/>
            <w:r>
              <w:rPr>
                <w:sz w:val="19"/>
              </w:rPr>
              <w:t>Direct sales, IP as moat</w:t>
            </w:r>
          </w:p>
        </w:tc>
        <w:tc>
          <w:tcPr>
            <w:tcW w:type="dxa" w:w="1568"/>
          </w:tcPr>
          <w:p>
            <w:r/>
            <w:r>
              <w:rPr>
                <w:sz w:val="19"/>
              </w:rPr>
              <w:t>Commissioned single-source (BSCRA/Genesis)</w:t>
            </w:r>
          </w:p>
        </w:tc>
      </w:tr>
    </w:tbl>
    <w:p>
      <w:pPr>
        <w:spacing w:after="80"/>
      </w:pPr>
    </w:p>
    <w:p>
      <w:pPr>
        <w:spacing w:after="200"/>
      </w:pPr>
      <w:r>
        <w:rPr>
          <w:i/>
          <w:color w:val="59635F"/>
          <w:sz w:val="19"/>
        </w:rPr>
        <w:t>Notably, Remora 1/2 and Trixie 2 come from the same developer (AART) — see §3. The table is best read as a spectrum of models one team is willing to build, not a lineup of competing philosophies.</w:t>
      </w:r>
    </w:p>
    <w:p>
      <w:pPr>
        <w:pStyle w:val="Heading3"/>
      </w:pPr>
      <w:r>
        <w:t>Pros and cons of open designs</w:t>
      </w:r>
    </w:p>
    <w:p>
      <w:pPr>
        <w:pStyle w:val="Heading2"/>
      </w:pPr>
      <w:r>
        <w:t>Pros</w:t>
      </w:r>
    </w:p>
    <w:p>
      <w:pPr>
        <w:pStyle w:val="ListBullet"/>
        <w:spacing w:after="120"/>
      </w:pPr>
      <w:r>
        <w:t>Fully scrutineerable in principle — anyone can check what the board actually does.</w:t>
      </w:r>
    </w:p>
    <w:p>
      <w:pPr>
        <w:pStyle w:val="ListBullet"/>
        <w:spacing w:after="120"/>
      </w:pPr>
      <w:r>
        <w:t>Low barrier to entry keeps price down and keeps the hobbyist/DIY culture of slot racing inside the technology, not just consuming it.</w:t>
      </w:r>
    </w:p>
    <w:p>
      <w:pPr>
        <w:pStyle w:val="ListBullet"/>
        <w:spacing w:after="120"/>
      </w:pPr>
      <w:r>
        <w:t>Community-driven fixes and features, drawing on a contributor base bigger than any single vendor could fund.</w:t>
      </w:r>
    </w:p>
    <w:p>
      <w:pPr>
        <w:pStyle w:val="ListBullet"/>
        <w:spacing w:after="120"/>
      </w:pPr>
      <w:r>
        <w:t>No single point of commercial failure — the design outlives any one seller.</w:t>
      </w:r>
    </w:p>
    <w:p>
      <w:pPr>
        <w:pStyle w:val="Heading2"/>
      </w:pPr>
      <w:r>
        <w:t>Cons</w:t>
      </w:r>
    </w:p>
    <w:p>
      <w:pPr>
        <w:pStyle w:val="ListBullet"/>
        <w:spacing w:after="120"/>
      </w:pPr>
      <w:r>
        <w:t>Weak commercial incentive to invest in tooling, QC, support, and warranty; royalty licensing is hard to enforce against small overseas builders.</w:t>
      </w:r>
    </w:p>
    <w:p>
      <w:pPr>
        <w:pStyle w:val="ListBullet"/>
        <w:spacing w:after="120"/>
      </w:pPr>
      <w:r>
        <w:t>Fragmentation: many small-batch builds of “the same” design, with real variance in components, assembly, and firmware version.</w:t>
      </w:r>
    </w:p>
    <w:p>
      <w:pPr>
        <w:pStyle w:val="ListBullet"/>
        <w:spacing w:after="120"/>
      </w:pPr>
      <w:r>
        <w:t>No natural single point of accountability if something fails on-track.</w:t>
      </w:r>
    </w:p>
    <w:p>
      <w:pPr>
        <w:pStyle w:val="ListBullet"/>
        <w:spacing w:after="120"/>
      </w:pPr>
      <w:r>
        <w:t>Can make “one vendor, easy scrutineering” harder — no one throat to choke, no one BOM to certify.</w:t>
      </w:r>
    </w:p>
    <w:p>
      <w:pPr>
        <w:pStyle w:val="Heading3"/>
      </w:pPr>
      <w:r>
        <w:t>Pros and cons of closed designs</w:t>
      </w:r>
    </w:p>
    <w:p>
      <w:pPr>
        <w:pStyle w:val="Heading2"/>
      </w:pPr>
      <w:r>
        <w:t>Pros</w:t>
      </w:r>
    </w:p>
    <w:p>
      <w:pPr>
        <w:pStyle w:val="ListBullet"/>
        <w:spacing w:after="120"/>
      </w:pPr>
      <w:r>
        <w:t>A funded, accountable business behind the product: warranty, consistent QC, one company to hold responsible.</w:t>
      </w:r>
    </w:p>
    <w:p>
      <w:pPr>
        <w:pStyle w:val="ListBullet"/>
        <w:spacing w:after="120"/>
      </w:pPr>
      <w:r>
        <w:t>Commercial incentive to invest in R&amp;D — closed IP is how the designer captures return on real engineering effort.</w:t>
      </w:r>
    </w:p>
    <w:p>
      <w:pPr>
        <w:pStyle w:val="ListBullet"/>
        <w:spacing w:after="120"/>
      </w:pPr>
      <w:r>
        <w:t>Simpler supply chain for organizers to reason about — fewer variants, simpler rule text.</w:t>
      </w:r>
    </w:p>
    <w:p>
      <w:pPr>
        <w:pStyle w:val="ListBullet"/>
        <w:spacing w:after="120"/>
      </w:pPr>
      <w:r>
        <w:t>No risk of commoditization starving out quality control.</w:t>
      </w:r>
    </w:p>
    <w:p>
      <w:pPr>
        <w:pStyle w:val="Heading2"/>
      </w:pPr>
      <w:r>
        <w:t>Cons</w:t>
      </w:r>
    </w:p>
    <w:p>
      <w:pPr>
        <w:pStyle w:val="ListBullet"/>
        <w:spacing w:after="120"/>
      </w:pPr>
      <w:r>
        <w:t>Zero independent verifiability — the community's only assurance is the manufacturer's word.</w:t>
      </w:r>
    </w:p>
    <w:p>
      <w:pPr>
        <w:pStyle w:val="ListBullet"/>
        <w:spacing w:after="120"/>
      </w:pPr>
      <w:r>
        <w:t>Single point of commercial failure: if the manufacturer stops trading, owners hold unrepairable hardware.</w:t>
      </w:r>
    </w:p>
    <w:p>
      <w:pPr>
        <w:pStyle w:val="ListBullet"/>
        <w:spacing w:after="120"/>
      </w:pPr>
      <w:r>
        <w:t>Monopoly pricing risk in a small hobby market with real switching costs.</w:t>
      </w:r>
    </w:p>
    <w:p>
      <w:pPr>
        <w:pStyle w:val="ListBullet"/>
        <w:spacing w:after="120"/>
      </w:pPr>
      <w:r>
        <w:t>Opaque firmware updates — behavior could change between events with no external record.</w:t>
      </w:r>
    </w:p>
    <w:p>
      <w:pPr>
        <w:pStyle w:val="Heading3"/>
      </w:pPr>
      <w:r>
        <w:t>Commercial viability and business models</w:t>
      </w:r>
    </w:p>
    <w:p>
      <w:pPr>
        <w:spacing w:after="200"/>
      </w:pPr>
      <w:r>
        <w:rPr>
          <w:i w:val="0"/>
        </w:rPr>
        <w:t>None of these models is obviously sustainable at hobby-market volumes, and the working group should not pretend otherwise. Fully open (Remora 1) relies on voluntary compliance with a royalty request that has no realistic enforcement mechanism — it sustains itself on goodwill, a pattern that tends to produce burnout rather than a durable supply of product. Open manufacturing + licensed resale (Remora 2) is a more conventional attempt, closer to how an open instruction-set architecture can still support licensed silicon vendors — but it only works if governing bodies give licensed builders some recognition unlicensed clones don't get, itself a policy choice needing consensus. Closed, semi-open engagement (SBM) monetizes through direct sales with the designer's expertise as the moat, and is only as durable as that small business. Fully closed (Latslot) is the most conventional model and, all else equal, the easiest to keep funded — at the cost of the least insight into what racers are actually racing. Commissioned single-source (Trixie 2) sidesteps the open-market sustainability question entirely by tying the business model to one customer relationship — BSCRA/Genesis — rather than retail sales: arguably the most commercially secure for as long as that relationship holds, and the least resilient if it doesn't, since by design there is no other supplier to fall back on.</w:t>
      </w:r>
    </w:p>
    <w:p>
      <w:pPr>
        <w:spacing w:before="200" w:after="280"/>
        <w:ind w:left="283"/>
        <w:pBdr>
          <w:left w:val="single" w:sz="18" w:space="10" w:color="A85F1C"/>
        </w:pBdr>
      </w:pPr>
      <w:r>
        <w:rPr>
          <w:b/>
          <w:color w:val="A85F1C"/>
          <w:sz w:val="18"/>
        </w:rPr>
        <w:t>THE UNCOMFORTABLE CONCLUSION</w:t>
        <w:br/>
      </w:r>
      <w:r>
        <w:rPr>
          <w:sz w:val="21"/>
        </w:rPr>
        <w:t>The most commercially sustainable models are also the least independently verifiable ones, and the most verifiable model is the least commercially sustainable one. A standard that mandates “must be open source” risks starving out manufacturers who can deliver supported, warrantied product at race-meeting volumes. A standard that mandates a specific closed product solves supply and accountability but recreates a single-vendor monopoly and removes the community's ability to check anything.</w:t>
      </w:r>
    </w:p>
    <w:p>
      <w:pPr>
        <w:pStyle w:val="Heading1"/>
        <w:pBdr>
          <w:bottom w:val="single" w:sz="6" w:space="4" w:color="CCD5CF"/>
        </w:pBdr>
      </w:pPr>
      <w:r>
        <w:t>5. The central conflict</w:t>
      </w:r>
    </w:p>
    <w:p>
      <w:pPr>
        <w:spacing w:after="200"/>
      </w:pPr>
      <w:r>
        <w:rPr>
          <w:i w:val="0"/>
        </w:rPr>
        <w:t>Racers' instinct is straightforward and legitimate: fair competition requires that no competitor gain an advantage from hardware whose behavior nobody else can check. Taken to its logical end, that instinct argues for a single approved eCom — one design, one firmware, ideally one vendor, so “did you meet spec” reduces to “is this the approved part.”</w:t>
      </w:r>
    </w:p>
    <w:p>
      <w:pPr>
        <w:spacing w:after="200"/>
      </w:pPr>
      <w:r>
        <w:rPr>
          <w:i w:val="0"/>
        </w:rPr>
        <w:t>But a single-vendor mandate has costs the sport has hit before with control tires, control motors, and control chassis: it creates a monopoly supplier with no competitive pressure on price or lead time, it puts an entire class's supply at the mercy of one company's continuity, and — specific to this technology — it forecloses the open-source ecosystem entirely, cutting against the build-it-yourself culture that has kept slot racing accessible for decades.</w:t>
      </w:r>
    </w:p>
    <w:p>
      <w:pPr>
        <w:spacing w:after="200"/>
      </w:pPr>
      <w:r>
        <w:rPr>
          <w:i w:val="0"/>
        </w:rPr>
        <w:t>The two goals are genuinely in tension, not just apparently so:</w:t>
      </w:r>
    </w:p>
    <w:p>
      <w:pPr>
        <w:pStyle w:val="ListBullet"/>
        <w:spacing w:after="120"/>
      </w:pPr>
      <w:r>
        <w:rPr>
          <w:b/>
          <w:i w:val="0"/>
        </w:rPr>
        <w:t xml:space="preserve">Fair, simple scrutineering </w:t>
      </w:r>
      <w:r>
        <w:rPr>
          <w:b w:val="0"/>
          <w:i w:val="0"/>
        </w:rPr>
        <w:t>wants few variants — ideally one — checked in minutes trackside, ideally against a certified reference.</w:t>
      </w:r>
    </w:p>
    <w:p>
      <w:pPr>
        <w:pStyle w:val="ListBullet"/>
        <w:spacing w:after="120"/>
      </w:pPr>
      <w:r>
        <w:rPr>
          <w:b/>
          <w:i w:val="0"/>
        </w:rPr>
        <w:t xml:space="preserve">A healthy, resilient, accessible market </w:t>
      </w:r>
      <w:r>
        <w:rPr>
          <w:b w:val="0"/>
          <w:i w:val="0"/>
        </w:rPr>
        <w:t>wants multiple vendors, competitive pricing, a path for hobbyists to build their own, and no single company able to hold a class hostage.</w:t>
      </w:r>
    </w:p>
    <w:p>
      <w:pPr>
        <w:spacing w:after="200"/>
      </w:pPr>
      <w:r>
        <w:rPr>
          <w:b w:val="0"/>
          <w:i w:val="0"/>
        </w:rPr>
        <w:t xml:space="preserve">Section 6 proposes the model the working group should evaluate for reconciling these: </w:t>
      </w:r>
      <w:r>
        <w:rPr>
          <w:b/>
          <w:i w:val="0"/>
        </w:rPr>
        <w:t>standardize the spec, not the vendor.</w:t>
      </w:r>
    </w:p>
    <w:p>
      <w:pPr>
        <w:pStyle w:val="Heading1"/>
        <w:pBdr>
          <w:bottom w:val="single" w:sz="6" w:space="4" w:color="CCD5CF"/>
        </w:pBdr>
      </w:pPr>
      <w:r>
        <w:t>6. Proposed model</w:t>
      </w:r>
    </w:p>
    <w:p>
      <w:pPr>
        <w:spacing w:after="200"/>
      </w:pPr>
      <w:r>
        <w:rPr>
          <w:i w:val="0"/>
        </w:rPr>
        <w:t>This is the pattern used successfully by other technical standards bodies that face exactly this tension — USB-IF, the Bluetooth SIG, the Wi-Fi Alliance, Qi wireless charging: the governing body owns and publishes a spec and a conformance test; it does not build or sell the product. Applied here:</w:t>
      </w:r>
    </w:p>
    <w:p>
      <w:pPr>
        <w:pStyle w:val="ListNumber"/>
        <w:spacing w:after="120"/>
      </w:pPr>
      <w:r>
        <w:rPr>
          <w:b/>
          <w:i w:val="0"/>
        </w:rPr>
        <w:t xml:space="preserve">BSCRA and ISRA publish a design spec — a “design point,” not a reference design. </w:t>
      </w:r>
      <w:r>
        <w:rPr>
          <w:b w:val="0"/>
          <w:i w:val="0"/>
        </w:rPr>
        <w:t>Permissible Ke/Kv range for a class, timing-advance limits, current/thermal limits, mechanical footprint and connector standard, permitted feature set (explicitly prohibiting traction control, launch control, or competitor-aware behavior), and required safety behavior.</w:t>
      </w:r>
    </w:p>
    <w:p>
      <w:pPr>
        <w:pStyle w:val="ListNumber"/>
        <w:spacing w:after="120"/>
      </w:pPr>
      <w:r>
        <w:rPr>
          <w:b/>
          <w:i w:val="0"/>
        </w:rPr>
        <w:t xml:space="preserve">Any manufacturer may submit an implementation for homologation </w:t>
      </w:r>
      <w:r>
        <w:rPr>
          <w:b w:val="0"/>
          <w:i w:val="0"/>
        </w:rPr>
        <w:t>against that spec — hobbyist, licensed Remora 2 builder, SBM, Latslot, or a newcomer. Being closed-source is not disqualifying; being open-source confers no shortcut.</w:t>
      </w:r>
    </w:p>
    <w:p>
      <w:pPr>
        <w:pStyle w:val="ListNumber"/>
        <w:spacing w:after="120"/>
      </w:pPr>
      <w:r>
        <w:rPr>
          <w:b/>
          <w:i w:val="0"/>
        </w:rPr>
        <w:t xml:space="preserve">Homologation is behavioral, not code-based. </w:t>
      </w:r>
      <w:r>
        <w:rPr>
          <w:b w:val="0"/>
          <w:i w:val="0"/>
        </w:rPr>
        <w:t>A bench test — and a fast trackside spot-check using the same Hall-effect/Ke method proposed in this repository — verifies what the unit does, without anyone reading anyone's firmware. The rulebook cares about the transfer function, not the source code.</w:t>
      </w:r>
    </w:p>
    <w:p>
      <w:pPr>
        <w:pStyle w:val="ListNumber"/>
        <w:spacing w:after="120"/>
      </w:pPr>
      <w:r>
        <w:rPr>
          <w:b/>
          <w:i w:val="0"/>
        </w:rPr>
        <w:t xml:space="preserve">A public register </w:t>
      </w:r>
      <w:r>
        <w:rPr>
          <w:b w:val="0"/>
          <w:i w:val="0"/>
        </w:rPr>
        <w:t>of homologated eComs — make, model, firmware version, measured envelope — is maintained by BSCRA/ISRA.</w:t>
      </w:r>
    </w:p>
    <w:p>
      <w:pPr>
        <w:pStyle w:val="ListNumber"/>
        <w:spacing w:after="120"/>
      </w:pPr>
      <w:r>
        <w:rPr>
          <w:b/>
          <w:i w:val="0"/>
        </w:rPr>
        <w:t xml:space="preserve">Firmware changes require re-homologation. </w:t>
      </w:r>
      <w:r>
        <w:rPr>
          <w:b w:val="0"/>
          <w:i w:val="0"/>
        </w:rPr>
        <w:t>A unit whose measured behavior drifts outside its registered envelope is no longer homologated until re-tested.</w:t>
      </w:r>
    </w:p>
    <w:p>
      <w:pPr>
        <w:spacing w:after="200"/>
      </w:pPr>
      <w:r>
        <w:rPr>
          <w:i w:val="0"/>
        </w:rPr>
        <w:t>This model explicitly protects both open and closed manufacturers' core interests: open projects keep the right to compete without being regulated out by a spec assuming proprietary tooling; closed manufacturers keep their IP — including RDP-level firmware locking — because homologation never requires disclosing source.</w:t>
      </w:r>
    </w:p>
    <w:p>
      <w:pPr>
        <w:pStyle w:val="Heading1"/>
        <w:pBdr>
          <w:bottom w:val="single" w:sz="6" w:space="4" w:color="CCD5CF"/>
        </w:pBdr>
      </w:pPr>
      <w:r>
        <w:t>7. Board locking (RDP levels 0–2)</w:t>
      </w:r>
    </w:p>
    <w:p>
      <w:pPr>
        <w:spacing w:after="200"/>
      </w:pPr>
      <w:r>
        <w:rPr>
          <w:i w:val="0"/>
        </w:rPr>
        <w:t>Several current and prospective boards — the MidAmerica Trixie 2 (§3) is a live, concrete example, shipping today at RDP Level 2 — use STMicroelectronics-style microcontrollers, which support hardware Readout Protection (RDP) at the silicon level. Worth explaining plainly, so the working group isn't talking past itself about what “locking the board” actually forecloses:</w:t>
      </w:r>
    </w:p>
    <w:p>
      <w:pPr>
        <w:spacing w:before="200" w:after="280"/>
        <w:ind w:left="283"/>
        <w:pBdr>
          <w:left w:val="single" w:sz="18" w:space="10" w:color="A85F1C"/>
        </w:pBdr>
      </w:pPr>
      <w:r>
        <w:rPr>
          <w:b/>
          <w:color w:val="A85F1C"/>
          <w:sz w:val="18"/>
        </w:rPr>
        <w:t>RDP LEVEL 0 — UNPROTECTED</w:t>
        <w:br/>
      </w:r>
      <w:r>
        <w:rPr>
          <w:sz w:val="21"/>
        </w:rPr>
        <w:t>Full debug and flash-read access; anyone with a cheap programmer can dump the firmware. Effectively equivalent to open source at the object-code level — no commercial IP protection, but maximally scrutineerable and trivially cloneable.</w:t>
      </w:r>
    </w:p>
    <w:p>
      <w:pPr>
        <w:spacing w:before="200" w:after="280"/>
        <w:ind w:left="283"/>
        <w:pBdr>
          <w:left w:val="single" w:sz="18" w:space="10" w:color="A85F1C"/>
        </w:pBdr>
      </w:pPr>
      <w:r>
        <w:rPr>
          <w:b/>
          <w:color w:val="A85F1C"/>
          <w:sz w:val="18"/>
        </w:rPr>
        <w:t>RDP LEVEL 1 — REVERSIBLE PROTECTION</w:t>
        <w:br/>
      </w:r>
      <w:r>
        <w:rPr>
          <w:sz w:val="21"/>
        </w:rPr>
        <w:t>Flash read-out via the debug port is blocked while active. It can be reverted to Level 0, but reversion triggers a full mass-erase of flash — so debug access can be regained only by destroying the firmware being inspected. The pragmatic middle ground: stops casual cloning while leaving a path to prove what's on a unit, at the cost of that unit's firmware. Compatible with an escrow-based dispute process.</w:t>
      </w:r>
    </w:p>
    <w:p>
      <w:pPr>
        <w:spacing w:before="200" w:after="280"/>
        <w:ind w:left="283"/>
        <w:pBdr>
          <w:left w:val="single" w:sz="18" w:space="10" w:color="A85F1C"/>
        </w:pBdr>
      </w:pPr>
      <w:r>
        <w:rPr>
          <w:b/>
          <w:color w:val="A85F1C"/>
          <w:sz w:val="18"/>
        </w:rPr>
        <w:t>RDP LEVEL 2 — PERMANENT, IRREVERSIBLE LOCK</w:t>
        <w:br/>
      </w:r>
      <w:r>
        <w:rPr>
          <w:sz w:val="21"/>
        </w:rPr>
        <w:t>Debug access is disabled forever, with no path back, ever. Absolute IP protection, but also forecloses any future verification of that unit's firmware — by the manufacturer, a scrutineer, a court, or the owner if the manufacturer disappears. Field firmware updates would have to go through a signed bootloader instead, which is its own trust question.</w:t>
      </w:r>
    </w:p>
    <w:p>
      <w:pPr>
        <w:spacing w:before="200" w:after="280"/>
        <w:ind w:left="283"/>
        <w:pBdr>
          <w:left w:val="single" w:sz="18" w:space="10" w:color="A85F1C"/>
        </w:pBdr>
      </w:pPr>
      <w:r>
        <w:rPr>
          <w:b/>
          <w:color w:val="A85F1C"/>
          <w:sz w:val="18"/>
        </w:rPr>
        <w:t>IMPLICATION FOR THIS STANDARD</w:t>
        <w:br/>
      </w:r>
      <w:r>
        <w:rPr>
          <w:sz w:val="21"/>
        </w:rPr>
        <w:t>RDP Level 2 is not compatible with any homologation model that relies on reading firmware, ever, under any circumstances. It is compatible with the behavioral homologation model in §6, because that model never asks to read firmware in the first place. This argues strongly for the working group to adopt behavioral (Ke/speed-vs-voltage) homologation as the only compliance mechanism — the one mechanism that works identically regardless of which RDP level any given manufacturer chooses.</w:t>
      </w:r>
    </w:p>
    <w:p>
      <w:pPr>
        <w:spacing w:after="200"/>
      </w:pPr>
      <w:r>
        <w:rPr>
          <w:i w:val="0"/>
        </w:rPr>
        <w:t>Two practical safeguards worth considering, independent of RDP level:</w:t>
      </w:r>
    </w:p>
    <w:p>
      <w:pPr>
        <w:pStyle w:val="ListBullet"/>
        <w:spacing w:after="120"/>
      </w:pPr>
      <w:r>
        <w:rPr>
          <w:b/>
          <w:i w:val="0"/>
        </w:rPr>
        <w:t xml:space="preserve">A witnessed “golden sample” escrow. </w:t>
      </w:r>
      <w:r>
        <w:rPr>
          <w:b w:val="0"/>
          <w:i w:val="0"/>
        </w:rPr>
        <w:t>At homologation, the manufacturer deposits a unit — and, where willing, a firmware hash generated at RDP1 before locking to RDP2 — with BSCRA/ISRA or a neutral third party. This detects a later swap without ever exposing the code itself.</w:t>
      </w:r>
    </w:p>
    <w:p>
      <w:pPr>
        <w:pStyle w:val="ListBullet"/>
        <w:spacing w:after="120"/>
      </w:pPr>
      <w:r>
        <w:rPr>
          <w:b/>
          <w:i w:val="0"/>
        </w:rPr>
        <w:t xml:space="preserve">Anti-swap / tamper evidence </w:t>
      </w:r>
      <w:r>
        <w:rPr>
          <w:b w:val="0"/>
          <w:i w:val="0"/>
        </w:rPr>
        <w:t>at the connector or enclosure level, since a unit that measures correctly on the bench but is swapped on race day defeats behavioral homologation regardless of firmware protection — a mechanical/procedural problem, handled the same way control-part scrutineering already handles it elsewhere: sealed units, serialized parts, post-race pull-and-check.</w:t>
      </w:r>
    </w:p>
    <w:p>
      <w:pPr>
        <w:pStyle w:val="Heading1"/>
        <w:pBdr>
          <w:bottom w:val="single" w:sz="6" w:space="4" w:color="CCD5CF"/>
        </w:pBdr>
      </w:pPr>
      <w:r>
        <w:t>8. Draft charter &amp; principles</w:t>
      </w:r>
    </w:p>
    <w:p>
      <w:pPr>
        <w:spacing w:after="200"/>
      </w:pPr>
      <w:r>
        <w:rPr>
          <w:i w:val="0"/>
        </w:rPr>
        <w:t>Proposed for the technical working group to adopt, amend, or reject — the consensus target this paper is trying to help the community reach, not a fait accompli.</w:t>
      </w:r>
    </w:p>
    <w:p>
      <w:pPr>
        <w:pStyle w:val="ListNumber"/>
        <w:spacing w:after="120"/>
      </w:pPr>
      <w:r>
        <w:t>Racing fairness is defined by a measurable, published performance envelope — not by the implementation method used to achieve it. Open-source and closed-source designs are equally eligible if they meet spec.</w:t>
      </w:r>
    </w:p>
    <w:p>
      <w:pPr>
        <w:pStyle w:val="ListNumber"/>
        <w:spacing w:after="120"/>
      </w:pPr>
      <w:r>
        <w:t>BSCRA and ISRA, through a joint technical working group, publish and maintain a Design Spec describing the performance envelope, interface, and required safety behavior for eComs in each affected class — never a single mandated reference implementation or vendor.</w:t>
      </w:r>
    </w:p>
    <w:p>
      <w:pPr>
        <w:pStyle w:val="ListNumber"/>
        <w:spacing w:after="120"/>
      </w:pPr>
      <w:r>
        <w:t>Any developer or manufacturer — hobbyist, open-source project, or commercial company — may submit an implementation for homologation, on equal terms.</w:t>
      </w:r>
    </w:p>
    <w:p>
      <w:pPr>
        <w:pStyle w:val="ListNumber"/>
        <w:spacing w:after="120"/>
      </w:pPr>
      <w:r>
        <w:t>Homologation is behavioral and external, using bench and trackside measurement, and never requires disclosure of source code, schematics, or firmware images. RDP-locked hardware, including RDP Level 2, is fully eligible.</w:t>
      </w:r>
    </w:p>
    <w:p>
      <w:pPr>
        <w:pStyle w:val="ListNumber"/>
        <w:spacing w:after="120"/>
      </w:pPr>
      <w:r>
        <w:t>Trackside scrutineering must be fast, non-destructive, and require no special access — a target measured in minutes per car, using equipment any club-level scrutineer can operate without vendor cooperation.</w:t>
      </w:r>
    </w:p>
    <w:p>
      <w:pPr>
        <w:pStyle w:val="ListNumber"/>
        <w:spacing w:after="120"/>
      </w:pPr>
      <w:r>
        <w:t>A public homologation register (make, model, firmware version/hash, measured envelope, homologation date) is maintained and published by BSCRA/ISRA.</w:t>
      </w:r>
    </w:p>
    <w:p>
      <w:pPr>
        <w:pStyle w:val="ListNumber"/>
        <w:spacing w:after="120"/>
      </w:pPr>
      <w:r>
        <w:t>Any firmware or hardware revision that changes measured behavior invalidates homologation until re-tested; field-updatable units must disable updates during competition or re-submit each version.</w:t>
      </w:r>
    </w:p>
    <w:p>
      <w:pPr>
        <w:pStyle w:val="ListNumber"/>
        <w:spacing w:after="120"/>
      </w:pPr>
      <w:r>
        <w:t>Open-source and DIY-built eComs are explicitly protected as a legitimate category — the spec must not require proprietary certification tooling or fees unaffordable to a hobbyist.</w:t>
      </w:r>
    </w:p>
    <w:p>
      <w:pPr>
        <w:pStyle w:val="ListNumber"/>
        <w:spacing w:after="120"/>
      </w:pPr>
      <w:r>
        <w:t>Commercial manufacturers' IP rights are equally protected — the standard is a performance spec, not a disclosure mechanism, and must not force open designs into commercial products in violation of existing licenses, nor force closed manufacturers to open their firmware.</w:t>
      </w:r>
    </w:p>
    <w:p>
      <w:pPr>
        <w:pStyle w:val="ListNumber"/>
        <w:spacing w:after="120"/>
      </w:pPr>
      <w:r>
        <w:t>Spec changes go through a transparent, published RFC-style process, with standing representation from BSCRA, ISRA, at least one open-source maintainer, and at least one commercial manufacturer.</w:t>
      </w:r>
    </w:p>
    <w:p>
      <w:pPr>
        <w:pStyle w:val="ListNumber"/>
        <w:spacing w:after="120"/>
      </w:pPr>
      <w:r>
        <w:t>Disputes over a specific unit's compliance are resolved through the escrow / golden-sample mechanism, not through demands for public source disclosure.</w:t>
      </w:r>
    </w:p>
    <w:p>
      <w:pPr>
        <w:pStyle w:val="Heading1"/>
        <w:pBdr>
          <w:bottom w:val="single" w:sz="6" w:space="4" w:color="CCD5CF"/>
        </w:pBdr>
      </w:pPr>
      <w:r>
        <w:t>9. Objectives</w:t>
      </w:r>
    </w:p>
    <w:p>
      <w:pPr>
        <w:pStyle w:val="Heading3"/>
      </w:pPr>
      <w:r>
        <w:t>Near term — 6 to 12 months</w:t>
      </w:r>
    </w:p>
    <w:p>
      <w:pPr>
        <w:pStyle w:val="ListBullet"/>
        <w:spacing w:after="120"/>
      </w:pPr>
      <w:r>
        <w:t>Convene the joint BSCRA/ISRA technical working group with representation from SBM, Remora, Latslot, and active club scrutineers.</w:t>
      </w:r>
    </w:p>
    <w:p>
      <w:pPr>
        <w:pStyle w:val="ListBullet"/>
        <w:spacing w:after="120"/>
      </w:pPr>
      <w:r>
        <w:t>Ratify a first-draft Design Spec for the classes currently affected — BSCRA Intro 32, ISRA Eurosport categories.</w:t>
      </w:r>
    </w:p>
    <w:p>
      <w:pPr>
        <w:pStyle w:val="ListBullet"/>
        <w:spacing w:after="120"/>
      </w:pPr>
      <w:r>
        <w:t>Build and field-trial the Ke tachometer scrutineering device described in this repository, and publish tolerance bands.</w:t>
      </w:r>
    </w:p>
    <w:p>
      <w:pPr>
        <w:pStyle w:val="Heading3"/>
      </w:pPr>
      <w:r>
        <w:t>Medium term — 12 to 24 months</w:t>
      </w:r>
    </w:p>
    <w:p>
      <w:pPr>
        <w:pStyle w:val="ListBullet"/>
        <w:spacing w:after="120"/>
      </w:pPr>
      <w:r>
        <w:t>Stand up the public homologation register and run the first round of manufacturer submissions.</w:t>
      </w:r>
    </w:p>
    <w:p>
      <w:pPr>
        <w:pStyle w:val="ListBullet"/>
        <w:spacing w:after="120"/>
      </w:pPr>
      <w:r>
        <w:t>Pilot the golden-sample escrow process with at least one closed-firmware manufacturer.</w:t>
      </w:r>
    </w:p>
    <w:p>
      <w:pPr>
        <w:pStyle w:val="ListBullet"/>
        <w:spacing w:after="120"/>
      </w:pPr>
      <w:r>
        <w:t>Publish the RFC process for spec changes and hold the first open comment period.</w:t>
      </w:r>
    </w:p>
    <w:p>
      <w:pPr>
        <w:pStyle w:val="Heading3"/>
      </w:pPr>
      <w:r>
        <w:t>Long term</w:t>
      </w:r>
    </w:p>
    <w:p>
      <w:pPr>
        <w:pStyle w:val="ListBullet"/>
        <w:spacing w:after="120"/>
      </w:pPr>
      <w:r>
        <w:t>Extend the model to additional classes as brushless adoption grows.</w:t>
      </w:r>
    </w:p>
    <w:p>
      <w:pPr>
        <w:pStyle w:val="ListBullet"/>
        <w:spacing w:after="120"/>
      </w:pPr>
      <w:r>
        <w:t>Periodically review whether the spec needs to evolve as commutation technology moves — the spec should describe outcomes, not freeze today's implementation choices in place.</w:t>
      </w:r>
    </w:p>
    <w:p>
      <w:pPr>
        <w:pStyle w:val="Heading1"/>
        <w:pBdr>
          <w:bottom w:val="single" w:sz="6" w:space="4" w:color="CCD5CF"/>
        </w:pBdr>
      </w:pPr>
      <w:r>
        <w:t>10. Open questions for the community</w:t>
      </w:r>
    </w:p>
    <w:p>
      <w:pPr>
        <w:spacing w:after="200"/>
      </w:pPr>
      <w:r>
        <w:rPr>
          <w:i w:val="0"/>
        </w:rPr>
        <w:t>This paper deliberately does not answer these — they are exactly the points on which the working group needs to build consensus.</w:t>
      </w:r>
    </w:p>
    <w:p>
      <w:pPr>
        <w:pStyle w:val="ListBullet"/>
        <w:spacing w:after="120"/>
      </w:pPr>
      <w:r>
        <w:t>Should behavioral tolerance bands be identical across all manufacturers, or class-specific and possibly manufacturer-declared, spot-checked?</w:t>
      </w:r>
    </w:p>
    <w:p>
      <w:pPr>
        <w:pStyle w:val="ListBullet"/>
        <w:spacing w:after="120"/>
      </w:pPr>
      <w:r>
        <w:t>What is the acceptable trackside scrutineering time budget per car, and does the Ke tachometer approach actually hit it at real event scale?</w:t>
      </w:r>
    </w:p>
    <w:p>
      <w:pPr>
        <w:pStyle w:val="ListBullet"/>
        <w:spacing w:after="120"/>
      </w:pPr>
      <w:r>
        <w:t>Should the governing bodies formally recognize licensed open-hardware builders differently from unlicensed clones of the same open design — and if so, how, without becoming a de facto single-vendor mandate through the back door?</w:t>
      </w:r>
    </w:p>
    <w:p>
      <w:pPr>
        <w:pStyle w:val="ListBullet"/>
        <w:spacing w:after="120"/>
      </w:pPr>
      <w:r>
        <w:t>Who bears the cost of homologation testing — manufacturer, governing body, or entry fees — and does that structurally disadvantage small builders relative to funded commercial ones?</w:t>
      </w:r>
    </w:p>
    <w:p>
      <w:pPr>
        <w:pStyle w:val="ListBullet"/>
        <w:spacing w:after="120"/>
      </w:pPr>
      <w:r>
        <w:t>Is a golden-sample escrow acceptable to closed manufacturers in practice, or does it functionally require RDP1 rather than RDP2 at time of submission — and is the working group willing to require that as a precondition?</w:t>
      </w:r>
    </w:p>
    <w:p>
      <w:pPr>
        <w:pStyle w:val="ListBullet"/>
        <w:spacing w:after="120"/>
      </w:pPr>
      <w:r>
        <w:t>How should the standard handle a manufacturer going out of business mid-season — does homologation survive the company, or does the sport need a sunset/grandfathering rule?</w:t>
      </w:r>
    </w:p>
    <w:p>
      <w:pPr>
        <w:pStyle w:val="Heading1"/>
        <w:pBdr>
          <w:bottom w:val="single" w:sz="6" w:space="4" w:color="CCD5CF"/>
        </w:pBdr>
      </w:pPr>
      <w:r>
        <w:t>Sources &amp; further reading</w:t>
      </w:r>
    </w:p>
    <w:p>
      <w:pPr>
        <w:pStyle w:val="ListBullet"/>
        <w:spacing w:after="120"/>
      </w:pPr>
      <w:r>
        <w:t>Bob Budge, Richard Mack, and Peter Smits' original brushless slot car development (2021) — “Brushless motored slot cars,” slotcarracing.org.uk</w:t>
      </w:r>
    </w:p>
    <w:p>
      <w:pPr>
        <w:pStyle w:val="ListBullet"/>
        <w:spacing w:after="120"/>
      </w:pPr>
      <w:r>
        <w:t>BSCRA motor and eCom rules — “Motors Used in BSCRA Racing” and “Brushless Motors,” slotcarracing.org.uk</w:t>
      </w:r>
    </w:p>
    <w:p>
      <w:pPr>
        <w:pStyle w:val="ListBullet"/>
        <w:spacing w:after="120"/>
      </w:pPr>
      <w:r>
        <w:t>ISRA Eurosport brushless adoption — community reporting via SlotForum, “Brushless Slot Car Racing Association”</w:t>
      </w:r>
    </w:p>
    <w:p>
      <w:pPr>
        <w:pStyle w:val="ListBullet"/>
        <w:spacing w:after="120"/>
      </w:pPr>
      <w:r>
        <w:t>Remora ESC/eCom project and ESCape32 firmware — Slotblog, “Remora ESCs”; KC Racing, “Brushless Mafia Remora” background</w:t>
      </w:r>
    </w:p>
    <w:p>
      <w:pPr>
        <w:pStyle w:val="ListBullet"/>
        <w:spacing w:after="120"/>
      </w:pPr>
      <w:r>
        <w:t>This repository's own scrutineering proposal — scrutineering.pdf (Ke/Kv tachometer method)</w:t>
      </w:r>
    </w:p>
    <w:p>
      <w:pPr>
        <w:pBdr>
          <w:bottom w:val="single" w:sz="4" w:space="4" w:color="CCD5CF"/>
        </w:pBdr>
        <w:spacing w:after="80"/>
      </w:pPr>
    </w:p>
    <w:p>
      <w:r>
        <w:rPr>
          <w:i/>
          <w:color w:val="59635F"/>
          <w:sz w:val="19"/>
        </w:rPr>
        <w:t>This document lives in the standardizing-ecoms repository as a working draft. Comment, fork, and propose edits through whatever process the working group adopts — the point of writing it down is to argue about a fixed target instead of past each other.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Calibri" w:hAnsi="Calibri"/>
      <w:color w:val="1B21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Calibri" w:hAnsi="Calibri"/>
      <w:b/>
      <w:bCs/>
      <w:color w:val="A85F1C"/>
      <w:sz w:val="3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1B211F"/>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B21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