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DAD4" w14:textId="77777777" w:rsidR="00173DAC" w:rsidRPr="00173DAC" w:rsidRDefault="00173DAC" w:rsidP="00173DAC">
      <w:pPr>
        <w:spacing w:after="40"/>
        <w:rPr>
          <w:rFonts w:ascii="Calibri" w:eastAsia="Calibri" w:hAnsi="Calibri" w:cs="Calibri"/>
          <w:b/>
          <w:bCs/>
          <w:color w:val="0F6E6E"/>
          <w:spacing w:val="20"/>
          <w:sz w:val="22"/>
          <w:szCs w:val="22"/>
        </w:rPr>
      </w:pPr>
      <w:r w:rsidRPr="00173DAC">
        <w:rPr>
          <w:rFonts w:ascii="Calibri" w:eastAsia="Calibri" w:hAnsi="Calibri" w:cs="Calibri"/>
          <w:b/>
          <w:bCs/>
          <w:color w:val="0F6E6E"/>
          <w:spacing w:val="20"/>
          <w:sz w:val="22"/>
          <w:szCs w:val="22"/>
        </w:rPr>
        <w:t xml:space="preserve">Co-AI BEGINNER WORKSHOP </w:t>
      </w:r>
      <w:proofErr w:type="gramStart"/>
      <w:r w:rsidRPr="00173DAC">
        <w:rPr>
          <w:rFonts w:ascii="Calibri" w:eastAsia="Calibri" w:hAnsi="Calibri" w:cs="Calibri"/>
          <w:b/>
          <w:bCs/>
          <w:color w:val="0F6E6E"/>
          <w:spacing w:val="20"/>
          <w:sz w:val="22"/>
          <w:szCs w:val="22"/>
        </w:rPr>
        <w:t>·  AGENTIC</w:t>
      </w:r>
      <w:proofErr w:type="gramEnd"/>
      <w:r w:rsidRPr="00173DAC">
        <w:rPr>
          <w:rFonts w:ascii="Calibri" w:eastAsia="Calibri" w:hAnsi="Calibri" w:cs="Calibri"/>
          <w:b/>
          <w:bCs/>
          <w:color w:val="0F6E6E"/>
          <w:spacing w:val="20"/>
          <w:sz w:val="22"/>
          <w:szCs w:val="22"/>
        </w:rPr>
        <w:t xml:space="preserve"> AI FUNDAMENTALS</w:t>
      </w:r>
    </w:p>
    <w:p w14:paraId="410EDECB" w14:textId="77777777" w:rsidR="00173DAC" w:rsidRPr="00173DAC" w:rsidRDefault="00173DAC" w:rsidP="00173DAC">
      <w:pPr>
        <w:spacing w:after="40"/>
        <w:rPr>
          <w:rFonts w:ascii="Calibri" w:eastAsia="Calibri" w:hAnsi="Calibri" w:cs="Calibri"/>
          <w:b/>
          <w:bCs/>
          <w:color w:val="0F6E6E"/>
          <w:spacing w:val="20"/>
          <w:sz w:val="22"/>
          <w:szCs w:val="22"/>
        </w:rPr>
      </w:pPr>
      <w:r w:rsidRPr="00173DAC">
        <w:rPr>
          <w:rFonts w:ascii="Calibri" w:eastAsia="Calibri" w:hAnsi="Calibri" w:cs="Calibri"/>
          <w:b/>
          <w:bCs/>
          <w:color w:val="0F6E6E"/>
          <w:spacing w:val="20"/>
          <w:sz w:val="22"/>
          <w:szCs w:val="22"/>
        </w:rPr>
        <w:t>Aarthi Ravikrishnan &amp; Deepa Ramasamy</w:t>
      </w:r>
    </w:p>
    <w:p w14:paraId="7285DB3F" w14:textId="77777777" w:rsidR="00173DAC" w:rsidRPr="00173DAC" w:rsidRDefault="00173DAC" w:rsidP="00173DAC">
      <w:pPr>
        <w:spacing w:after="40"/>
        <w:rPr>
          <w:rFonts w:ascii="Calibri" w:eastAsia="Calibri" w:hAnsi="Calibri" w:cs="Calibri"/>
          <w:color w:val="1F2933"/>
          <w:sz w:val="24"/>
          <w:szCs w:val="24"/>
        </w:rPr>
      </w:pPr>
      <w:r w:rsidRPr="00173DAC">
        <w:rPr>
          <w:rFonts w:ascii="Calibri" w:eastAsia="Calibri" w:hAnsi="Calibri" w:cs="Calibri"/>
          <w:b/>
          <w:bCs/>
          <w:color w:val="0F6E6E"/>
          <w:spacing w:val="20"/>
          <w:sz w:val="22"/>
          <w:szCs w:val="22"/>
        </w:rPr>
        <w:t>14</w:t>
      </w:r>
      <w:r w:rsidRPr="00173DAC">
        <w:rPr>
          <w:rFonts w:ascii="Calibri" w:eastAsia="Calibri" w:hAnsi="Calibri" w:cs="Calibri"/>
          <w:b/>
          <w:bCs/>
          <w:color w:val="0F6E6E"/>
          <w:spacing w:val="20"/>
          <w:sz w:val="22"/>
          <w:szCs w:val="22"/>
          <w:vertAlign w:val="superscript"/>
        </w:rPr>
        <w:t>th</w:t>
      </w:r>
      <w:r w:rsidRPr="00173DAC">
        <w:rPr>
          <w:rFonts w:ascii="Calibri" w:eastAsia="Calibri" w:hAnsi="Calibri" w:cs="Calibri"/>
          <w:b/>
          <w:bCs/>
          <w:color w:val="0F6E6E"/>
          <w:spacing w:val="20"/>
          <w:sz w:val="22"/>
          <w:szCs w:val="22"/>
        </w:rPr>
        <w:t xml:space="preserve"> October 2026</w:t>
      </w:r>
    </w:p>
    <w:p w14:paraId="0AF1C229" w14:textId="42ACF2E5" w:rsidR="00932E4A" w:rsidRPr="00B21C94" w:rsidRDefault="00205436" w:rsidP="00173DAC">
      <w:pPr>
        <w:spacing w:after="40"/>
        <w:rPr>
          <w:rFonts w:ascii="Calibri" w:hAnsi="Calibri" w:cs="Calibri"/>
          <w:sz w:val="40"/>
          <w:szCs w:val="40"/>
        </w:rPr>
      </w:pPr>
      <w:r w:rsidRPr="00B21C94">
        <w:rPr>
          <w:rFonts w:ascii="Calibri" w:hAnsi="Calibri" w:cs="Calibri"/>
          <w:b/>
          <w:bCs/>
          <w:color w:val="1F4E5F"/>
          <w:sz w:val="40"/>
          <w:szCs w:val="40"/>
        </w:rPr>
        <w:t xml:space="preserve">Example 3: Searching </w:t>
      </w:r>
      <w:proofErr w:type="spellStart"/>
      <w:r w:rsidRPr="00B21C94">
        <w:rPr>
          <w:rFonts w:ascii="Calibri" w:hAnsi="Calibri" w:cs="Calibri"/>
          <w:b/>
          <w:bCs/>
          <w:color w:val="1F4E5F"/>
          <w:sz w:val="40"/>
          <w:szCs w:val="40"/>
        </w:rPr>
        <w:t>Pubmed</w:t>
      </w:r>
      <w:proofErr w:type="spellEnd"/>
      <w:r w:rsidRPr="00B21C94">
        <w:rPr>
          <w:rFonts w:ascii="Calibri" w:hAnsi="Calibri" w:cs="Calibri"/>
          <w:b/>
          <w:bCs/>
          <w:color w:val="1F4E5F"/>
          <w:sz w:val="40"/>
          <w:szCs w:val="40"/>
        </w:rPr>
        <w:t xml:space="preserve"> with Claude</w:t>
      </w:r>
    </w:p>
    <w:p w14:paraId="0AF1C22A" w14:textId="77777777" w:rsidR="00932E4A" w:rsidRDefault="000A0FB0" w:rsidP="00173DAC">
      <w:pPr>
        <w:spacing w:after="40"/>
      </w:pPr>
      <w:r>
        <w:rPr>
          <w:i/>
          <w:iCs/>
          <w:color w:val="2E86AB"/>
          <w:sz w:val="26"/>
          <w:szCs w:val="26"/>
        </w:rPr>
        <w:t>From Literature Search to Gap Analysis to a Drafted Proposal</w:t>
      </w:r>
    </w:p>
    <w:p w14:paraId="5AF70CCE" w14:textId="77777777" w:rsidR="00E55BD2" w:rsidRDefault="00E55BD2">
      <w:pPr>
        <w:spacing w:after="120"/>
        <w:rPr>
          <w:color w:val="777777"/>
        </w:rPr>
      </w:pPr>
    </w:p>
    <w:p w14:paraId="0AF1C22C" w14:textId="524277B4" w:rsidR="00932E4A" w:rsidRDefault="000A0FB0">
      <w:pPr>
        <w:spacing w:after="120"/>
      </w:pPr>
      <w:r>
        <w:rPr>
          <w:sz w:val="22"/>
          <w:szCs w:val="22"/>
        </w:rPr>
        <w:t>Claude can connect directly to PubMed and search the live biomedical literature from inside a normal chat — no separate database logins, no copy-pasting search strings. This handout walks through connecting PubMed once, then follows one continuous workflow: topic → search strategy → screened reading list → citations → gap map → draft Specific Aims for a proposal. A prompt library at the end gives you dozens of ready-to-adapt lines for every stage.</w:t>
      </w:r>
    </w:p>
    <w:p w14:paraId="0AF1C22D" w14:textId="77777777" w:rsidR="00932E4A" w:rsidRDefault="000A0FB0">
      <w:pPr>
        <w:pStyle w:val="Heading1"/>
        <w:pBdr>
          <w:bottom w:val="single" w:sz="8" w:space="4" w:color="1F4E5F"/>
        </w:pBdr>
        <w:spacing w:before="360" w:after="160"/>
      </w:pPr>
      <w:r>
        <w:rPr>
          <w:b/>
          <w:bCs/>
          <w:color w:val="1F4E5F"/>
          <w:sz w:val="30"/>
          <w:szCs w:val="30"/>
        </w:rPr>
        <w:t>1. What You'll Learn</w:t>
      </w:r>
    </w:p>
    <w:p w14:paraId="0AF1C22E" w14:textId="77777777" w:rsidR="00932E4A" w:rsidRDefault="000A0FB0">
      <w:pPr>
        <w:pStyle w:val="ListParagraph"/>
        <w:numPr>
          <w:ilvl w:val="0"/>
          <w:numId w:val="3"/>
        </w:numPr>
        <w:spacing w:after="60"/>
      </w:pPr>
      <w:r>
        <w:rPr>
          <w:sz w:val="22"/>
          <w:szCs w:val="22"/>
        </w:rPr>
        <w:t>How to connect the PubMed connector to Claude (one-time setup)</w:t>
      </w:r>
    </w:p>
    <w:p w14:paraId="0AF1C22F" w14:textId="77777777" w:rsidR="00932E4A" w:rsidRDefault="000A0FB0">
      <w:pPr>
        <w:pStyle w:val="ListParagraph"/>
        <w:numPr>
          <w:ilvl w:val="0"/>
          <w:numId w:val="3"/>
        </w:numPr>
        <w:spacing w:after="60"/>
      </w:pPr>
      <w:r>
        <w:rPr>
          <w:sz w:val="22"/>
          <w:szCs w:val="22"/>
        </w:rPr>
        <w:t>How to turn a research topic into a reusable search + citation workflow</w:t>
      </w:r>
    </w:p>
    <w:p w14:paraId="0AF1C230" w14:textId="77777777" w:rsidR="00932E4A" w:rsidRDefault="000A0FB0">
      <w:pPr>
        <w:pStyle w:val="ListParagraph"/>
        <w:numPr>
          <w:ilvl w:val="0"/>
          <w:numId w:val="3"/>
        </w:numPr>
        <w:spacing w:after="60"/>
      </w:pPr>
      <w:r>
        <w:rPr>
          <w:sz w:val="22"/>
          <w:szCs w:val="22"/>
        </w:rPr>
        <w:t>How to read a screened reading list, a reference list, and a gap-analysis table</w:t>
      </w:r>
    </w:p>
    <w:p w14:paraId="0AF1C231" w14:textId="77777777" w:rsidR="00932E4A" w:rsidRDefault="000A0FB0">
      <w:pPr>
        <w:pStyle w:val="ListParagraph"/>
        <w:numPr>
          <w:ilvl w:val="0"/>
          <w:numId w:val="3"/>
        </w:numPr>
        <w:spacing w:after="60"/>
      </w:pPr>
      <w:r>
        <w:rPr>
          <w:sz w:val="22"/>
          <w:szCs w:val="22"/>
        </w:rPr>
        <w:t>How to carry an identified gap forward into a draft Specific Aim and hypothesis</w:t>
      </w:r>
    </w:p>
    <w:p w14:paraId="0AF1C232" w14:textId="77777777" w:rsidR="00932E4A" w:rsidRDefault="000A0FB0">
      <w:pPr>
        <w:pStyle w:val="ListParagraph"/>
        <w:numPr>
          <w:ilvl w:val="0"/>
          <w:numId w:val="3"/>
        </w:numPr>
        <w:spacing w:after="60"/>
      </w:pPr>
      <w:r>
        <w:rPr>
          <w:sz w:val="22"/>
          <w:szCs w:val="22"/>
        </w:rPr>
        <w:t>What to double-check before trusting any of this in a manuscript or proposal</w:t>
      </w:r>
    </w:p>
    <w:p w14:paraId="0AF1C233" w14:textId="77777777" w:rsidR="00932E4A" w:rsidRDefault="000A0FB0">
      <w:pPr>
        <w:pStyle w:val="ListParagraph"/>
        <w:numPr>
          <w:ilvl w:val="0"/>
          <w:numId w:val="3"/>
        </w:numPr>
        <w:spacing w:after="60"/>
      </w:pPr>
      <w:r>
        <w:rPr>
          <w:sz w:val="22"/>
          <w:szCs w:val="22"/>
        </w:rPr>
        <w:t>A large prompt library, organized by stage, to copy and adapt</w:t>
      </w:r>
    </w:p>
    <w:p w14:paraId="0AF1C234" w14:textId="77777777" w:rsidR="00932E4A" w:rsidRDefault="000A0FB0">
      <w:pPr>
        <w:pStyle w:val="Heading1"/>
        <w:pBdr>
          <w:bottom w:val="single" w:sz="8" w:space="4" w:color="1F4E5F"/>
        </w:pBdr>
        <w:spacing w:before="360" w:after="160"/>
      </w:pPr>
      <w:r>
        <w:rPr>
          <w:b/>
          <w:bCs/>
          <w:color w:val="1F4E5F"/>
          <w:sz w:val="30"/>
          <w:szCs w:val="30"/>
        </w:rPr>
        <w:t>2. One-Time Setup: Connecting PubMed</w:t>
      </w:r>
    </w:p>
    <w:p w14:paraId="0AF1C235" w14:textId="77777777" w:rsidR="00932E4A" w:rsidRDefault="000A0FB0">
      <w:pPr>
        <w:spacing w:before="120" w:after="60"/>
      </w:pPr>
      <w:r>
        <w:rPr>
          <w:b/>
          <w:bCs/>
          <w:color w:val="2E86AB"/>
          <w:sz w:val="22"/>
          <w:szCs w:val="22"/>
        </w:rPr>
        <w:t xml:space="preserve">Step 1. </w:t>
      </w:r>
      <w:r>
        <w:rPr>
          <w:b/>
          <w:bCs/>
          <w:sz w:val="22"/>
          <w:szCs w:val="22"/>
        </w:rPr>
        <w:t>Open the "+" menu.</w:t>
      </w:r>
      <w:r>
        <w:rPr>
          <w:sz w:val="22"/>
          <w:szCs w:val="22"/>
        </w:rPr>
        <w:t xml:space="preserve">  In the chat box, click Add files, connectors, and more.</w:t>
      </w:r>
    </w:p>
    <w:p w14:paraId="0AF1C236" w14:textId="77777777" w:rsidR="00932E4A" w:rsidRDefault="000A0FB0">
      <w:pPr>
        <w:spacing w:before="80" w:after="40"/>
        <w:jc w:val="center"/>
      </w:pPr>
      <w:r>
        <w:rPr>
          <w:noProof/>
        </w:rPr>
        <w:drawing>
          <wp:inline distT="0" distB="0" distL="0" distR="0" wp14:anchorId="0AF1C2CC" wp14:editId="0AF1C2CD">
            <wp:extent cx="4095750" cy="2143125"/>
            <wp:effectExtent l="0" t="0" r="0" b="0"/>
            <wp:docPr id="1" name="Picture 1">
              <a:extLst xmlns:a="http://schemas.openxmlformats.org/drawingml/2006/main">
                <a:ext uri="{FF2B5EF4-FFF2-40B4-BE49-F238E27FC236}">
                  <a16:creationId xmlns:a16="http://schemas.microsoft.com/office/drawing/2014/main" id="{152544FA-7C50-4FC9-B1ED-0B7F82624A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143125"/>
                    </a:xfrm>
                    <a:prstGeom prst="rect">
                      <a:avLst/>
                    </a:prstGeom>
                  </pic:spPr>
                </pic:pic>
              </a:graphicData>
            </a:graphic>
          </wp:inline>
        </w:drawing>
      </w:r>
    </w:p>
    <w:p w14:paraId="0AF1C237" w14:textId="77777777" w:rsidR="00932E4A" w:rsidRDefault="000A0FB0">
      <w:pPr>
        <w:spacing w:after="200"/>
        <w:jc w:val="center"/>
      </w:pPr>
      <w:r>
        <w:rPr>
          <w:i/>
          <w:iCs/>
          <w:color w:val="666666"/>
          <w:sz w:val="18"/>
          <w:szCs w:val="18"/>
        </w:rPr>
        <w:t>The “+” menu — Connectors is where PubMed lives.</w:t>
      </w:r>
    </w:p>
    <w:p w14:paraId="0AF1C238" w14:textId="77777777" w:rsidR="00932E4A" w:rsidRDefault="000A0FB0">
      <w:pPr>
        <w:spacing w:before="120" w:after="60"/>
      </w:pPr>
      <w:r>
        <w:rPr>
          <w:b/>
          <w:bCs/>
          <w:color w:val="2E86AB"/>
          <w:sz w:val="22"/>
          <w:szCs w:val="22"/>
        </w:rPr>
        <w:t xml:space="preserve">Step 2. </w:t>
      </w:r>
      <w:r>
        <w:rPr>
          <w:b/>
          <w:bCs/>
          <w:sz w:val="22"/>
          <w:szCs w:val="22"/>
        </w:rPr>
        <w:t>Go to Connectors.</w:t>
      </w:r>
      <w:r>
        <w:rPr>
          <w:sz w:val="22"/>
          <w:szCs w:val="22"/>
        </w:rPr>
        <w:t xml:space="preserve">  Choose Connectors → Browse connectors to see what's available.</w:t>
      </w:r>
    </w:p>
    <w:p w14:paraId="0AF1C239" w14:textId="6971B6E5" w:rsidR="00932E4A" w:rsidRDefault="000A0FB0">
      <w:pPr>
        <w:spacing w:before="120" w:after="60"/>
      </w:pPr>
      <w:r>
        <w:rPr>
          <w:b/>
          <w:bCs/>
          <w:color w:val="2E86AB"/>
          <w:sz w:val="22"/>
          <w:szCs w:val="22"/>
        </w:rPr>
        <w:t xml:space="preserve">Step 3. </w:t>
      </w:r>
      <w:r>
        <w:rPr>
          <w:b/>
          <w:bCs/>
          <w:sz w:val="22"/>
          <w:szCs w:val="22"/>
        </w:rPr>
        <w:t>Add PubMed.</w:t>
      </w:r>
      <w:r>
        <w:rPr>
          <w:sz w:val="22"/>
          <w:szCs w:val="22"/>
        </w:rPr>
        <w:t xml:space="preserve">  Search “</w:t>
      </w:r>
      <w:proofErr w:type="spellStart"/>
      <w:r>
        <w:rPr>
          <w:sz w:val="22"/>
          <w:szCs w:val="22"/>
        </w:rPr>
        <w:t>pubmed</w:t>
      </w:r>
      <w:proofErr w:type="spellEnd"/>
      <w:r>
        <w:rPr>
          <w:sz w:val="22"/>
          <w:szCs w:val="22"/>
        </w:rPr>
        <w:t xml:space="preserve">” and click Add. </w:t>
      </w:r>
      <w:r w:rsidR="006D40AC">
        <w:rPr>
          <w:sz w:val="22"/>
          <w:szCs w:val="22"/>
        </w:rPr>
        <w:t>Anthropic built and maintains it</w:t>
      </w:r>
      <w:r>
        <w:rPr>
          <w:sz w:val="22"/>
          <w:szCs w:val="22"/>
        </w:rPr>
        <w:t>.</w:t>
      </w:r>
    </w:p>
    <w:p w14:paraId="0AF1C23A" w14:textId="77777777" w:rsidR="00932E4A" w:rsidRDefault="000A0FB0">
      <w:pPr>
        <w:spacing w:before="80" w:after="40"/>
        <w:jc w:val="center"/>
      </w:pPr>
      <w:r>
        <w:rPr>
          <w:noProof/>
        </w:rPr>
        <w:lastRenderedPageBreak/>
        <w:drawing>
          <wp:inline distT="0" distB="0" distL="0" distR="0" wp14:anchorId="0AF1C2CE" wp14:editId="0AF1C2CF">
            <wp:extent cx="4476750" cy="2581275"/>
            <wp:effectExtent l="0" t="0" r="0" b="0"/>
            <wp:docPr id="361318840" name="Picture 361318840">
              <a:extLst xmlns:a="http://schemas.openxmlformats.org/drawingml/2006/main">
                <a:ext uri="{FF2B5EF4-FFF2-40B4-BE49-F238E27FC236}">
                  <a16:creationId xmlns:a16="http://schemas.microsoft.com/office/drawing/2014/main" id="{6B587FA4-0C56-4709-8C16-BBE3E4B95C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581275"/>
                    </a:xfrm>
                    <a:prstGeom prst="rect">
                      <a:avLst/>
                    </a:prstGeom>
                  </pic:spPr>
                </pic:pic>
              </a:graphicData>
            </a:graphic>
          </wp:inline>
        </w:drawing>
      </w:r>
    </w:p>
    <w:p w14:paraId="0AF1C23B" w14:textId="77777777" w:rsidR="00932E4A" w:rsidRDefault="000A0FB0">
      <w:pPr>
        <w:spacing w:after="200"/>
        <w:jc w:val="center"/>
      </w:pPr>
      <w:r>
        <w:rPr>
          <w:i/>
          <w:iCs/>
          <w:color w:val="666666"/>
          <w:sz w:val="18"/>
          <w:szCs w:val="18"/>
        </w:rPr>
        <w:t>The Connectors directory — PubMed already added (green check).</w:t>
      </w:r>
    </w:p>
    <w:p w14:paraId="0AF1C23C" w14:textId="77777777" w:rsidR="00932E4A" w:rsidRDefault="000A0FB0">
      <w:pPr>
        <w:spacing w:before="120" w:after="60"/>
      </w:pPr>
      <w:r>
        <w:rPr>
          <w:b/>
          <w:bCs/>
          <w:color w:val="2E86AB"/>
          <w:sz w:val="22"/>
          <w:szCs w:val="22"/>
        </w:rPr>
        <w:t xml:space="preserve">Step 4. </w:t>
      </w:r>
      <w:r>
        <w:rPr>
          <w:b/>
          <w:bCs/>
          <w:sz w:val="22"/>
          <w:szCs w:val="22"/>
        </w:rPr>
        <w:t>Save your workflow as a Skill (optional).</w:t>
      </w:r>
      <w:r>
        <w:rPr>
          <w:sz w:val="22"/>
          <w:szCs w:val="22"/>
        </w:rPr>
        <w:t xml:space="preserve">  If you build a search </w:t>
      </w:r>
      <w:proofErr w:type="gramStart"/>
      <w:r>
        <w:rPr>
          <w:sz w:val="22"/>
          <w:szCs w:val="22"/>
        </w:rPr>
        <w:t>strategy</w:t>
      </w:r>
      <w:proofErr w:type="gramEnd"/>
      <w:r>
        <w:rPr>
          <w:sz w:val="22"/>
          <w:szCs w:val="22"/>
        </w:rPr>
        <w:t xml:space="preserve"> you'll reuse — like a search agent for one research topic — save it as a Skill. It then triggers automatically in future chats without you re-explaining the setup.</w:t>
      </w:r>
    </w:p>
    <w:p w14:paraId="0AF1C23D" w14:textId="77777777" w:rsidR="00932E4A" w:rsidRDefault="000A0FB0">
      <w:pPr>
        <w:spacing w:before="80" w:after="40"/>
        <w:jc w:val="center"/>
      </w:pPr>
      <w:r>
        <w:rPr>
          <w:noProof/>
        </w:rPr>
        <w:drawing>
          <wp:inline distT="0" distB="0" distL="0" distR="0" wp14:anchorId="0AF1C2D0" wp14:editId="0AF1C2D1">
            <wp:extent cx="4000500" cy="2362200"/>
            <wp:effectExtent l="0" t="0" r="0" b="0"/>
            <wp:docPr id="324443289" name="Picture 324443289">
              <a:extLst xmlns:a="http://schemas.openxmlformats.org/drawingml/2006/main">
                <a:ext uri="{FF2B5EF4-FFF2-40B4-BE49-F238E27FC236}">
                  <a16:creationId xmlns:a16="http://schemas.microsoft.com/office/drawing/2014/main" id="{1ADC6113-E8DB-427B-A5C5-A432BB9C7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362200"/>
                    </a:xfrm>
                    <a:prstGeom prst="rect">
                      <a:avLst/>
                    </a:prstGeom>
                  </pic:spPr>
                </pic:pic>
              </a:graphicData>
            </a:graphic>
          </wp:inline>
        </w:drawing>
      </w:r>
    </w:p>
    <w:p w14:paraId="0AF1C23E" w14:textId="77777777" w:rsidR="00932E4A" w:rsidRDefault="000A0FB0">
      <w:pPr>
        <w:spacing w:after="200"/>
        <w:jc w:val="center"/>
      </w:pPr>
      <w:r>
        <w:rPr>
          <w:i/>
          <w:iCs/>
          <w:color w:val="666666"/>
          <w:sz w:val="18"/>
          <w:szCs w:val="18"/>
        </w:rPr>
        <w:t>A saved Skill appears under Settings → Skills and can be toggled on or off.</w:t>
      </w:r>
    </w:p>
    <w:p w14:paraId="0AF1C23F" w14:textId="77777777" w:rsidR="00932E4A" w:rsidRDefault="000A0FB0">
      <w:pPr>
        <w:spacing w:before="120" w:after="60"/>
      </w:pPr>
      <w:r>
        <w:rPr>
          <w:b/>
          <w:bCs/>
          <w:color w:val="2E86AB"/>
          <w:sz w:val="22"/>
          <w:szCs w:val="22"/>
        </w:rPr>
        <w:t xml:space="preserve">Step 5. </w:t>
      </w:r>
      <w:r>
        <w:rPr>
          <w:b/>
          <w:bCs/>
          <w:sz w:val="22"/>
          <w:szCs w:val="22"/>
        </w:rPr>
        <w:t>Start your query in plain English.</w:t>
      </w:r>
      <w:r>
        <w:rPr>
          <w:sz w:val="22"/>
          <w:szCs w:val="22"/>
        </w:rPr>
        <w:t xml:space="preserve">  Tell Claude your topic. Two answers help it tailor the workflow: what form you want the output in (a quick answer, a reusable Skill, or a Python script), and which citation style you need.</w:t>
      </w:r>
    </w:p>
    <w:p w14:paraId="0AF1C240" w14:textId="77777777" w:rsidR="00932E4A" w:rsidRDefault="000A0FB0">
      <w:pPr>
        <w:pStyle w:val="Heading1"/>
        <w:pBdr>
          <w:bottom w:val="single" w:sz="8" w:space="4" w:color="1F4E5F"/>
        </w:pBdr>
        <w:spacing w:before="360" w:after="160"/>
      </w:pPr>
      <w:r>
        <w:rPr>
          <w:b/>
          <w:bCs/>
          <w:color w:val="1F4E5F"/>
          <w:sz w:val="30"/>
          <w:szCs w:val="30"/>
        </w:rPr>
        <w:t>3. Worked Example: From Topic to Literature Review</w:t>
      </w:r>
    </w:p>
    <w:p w14:paraId="0AF1C241" w14:textId="77777777" w:rsidR="00932E4A" w:rsidRDefault="000A0FB0">
      <w:pPr>
        <w:spacing w:after="120"/>
      </w:pPr>
      <w:r>
        <w:rPr>
          <w:sz w:val="22"/>
          <w:szCs w:val="22"/>
        </w:rPr>
        <w:t>Below is a real, condensed example. A researcher working on triple-negative breast cancer (TNBC) and its epigenetic regulation asked Claude for a dedicated search and citation workflow for their review.</w:t>
      </w:r>
    </w:p>
    <w:tbl>
      <w:tblPr>
        <w:tblW w:w="5000" w:type="pct"/>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24"/>
      </w:tblGrid>
      <w:tr w:rsidR="00932E4A" w14:paraId="0AF1C244" w14:textId="77777777" w:rsidTr="001E1E45">
        <w:trPr>
          <w:cantSplit/>
        </w:trPr>
        <w:tc>
          <w:tcPr>
            <w:tcW w:w="0" w:type="auto"/>
            <w:tcBorders>
              <w:top w:val="single" w:sz="6" w:space="0" w:color="BFD9E0"/>
              <w:left w:val="single" w:sz="6" w:space="0" w:color="BFD9E0"/>
              <w:bottom w:val="single" w:sz="6" w:space="0" w:color="BFD9E0"/>
              <w:right w:val="single" w:sz="6" w:space="0" w:color="BFD9E0"/>
            </w:tcBorders>
            <w:shd w:val="clear" w:color="auto" w:fill="EAF3F6"/>
            <w:tcMar>
              <w:top w:w="120" w:type="dxa"/>
              <w:left w:w="180" w:type="dxa"/>
              <w:bottom w:w="120" w:type="dxa"/>
              <w:right w:w="180" w:type="dxa"/>
            </w:tcMar>
          </w:tcPr>
          <w:p w14:paraId="0AF1C242" w14:textId="77777777" w:rsidR="00932E4A" w:rsidRDefault="000A0FB0">
            <w:pPr>
              <w:spacing w:after="40"/>
            </w:pPr>
            <w:r>
              <w:rPr>
                <w:b/>
                <w:bCs/>
                <w:color w:val="1F4E5F"/>
              </w:rPr>
              <w:t>Example prompt</w:t>
            </w:r>
          </w:p>
          <w:p w14:paraId="0AF1C243" w14:textId="1190CD6D" w:rsidR="00932E4A" w:rsidRDefault="000A0FB0">
            <w:r>
              <w:rPr>
                <w:i/>
                <w:iCs/>
                <w:color w:val="333333"/>
              </w:rPr>
              <w:t xml:space="preserve">“I am working on </w:t>
            </w:r>
            <w:r w:rsidR="00AF1932">
              <w:rPr>
                <w:i/>
                <w:iCs/>
                <w:color w:val="333333"/>
              </w:rPr>
              <w:t>triple-negative</w:t>
            </w:r>
            <w:r>
              <w:rPr>
                <w:i/>
                <w:iCs/>
                <w:color w:val="333333"/>
              </w:rPr>
              <w:t xml:space="preserve"> breast cancer and its epigenetic regulation. I need to write a review on this topic. Can you make a dedicated literature search agent and citation module for this topic?”</w:t>
            </w:r>
          </w:p>
        </w:tc>
      </w:tr>
    </w:tbl>
    <w:p w14:paraId="0AF1C245" w14:textId="77777777" w:rsidR="00932E4A" w:rsidRDefault="000A0FB0">
      <w:pPr>
        <w:pStyle w:val="Heading2"/>
        <w:spacing w:before="240" w:after="100"/>
      </w:pPr>
      <w:r>
        <w:rPr>
          <w:b/>
          <w:bCs/>
          <w:color w:val="2E86AB"/>
          <w:sz w:val="24"/>
          <w:szCs w:val="24"/>
        </w:rPr>
        <w:t>What Claude builds</w:t>
      </w:r>
    </w:p>
    <w:p w14:paraId="0AF1C246" w14:textId="77777777" w:rsidR="00932E4A" w:rsidRDefault="000A0FB0">
      <w:pPr>
        <w:pStyle w:val="ListParagraph"/>
        <w:numPr>
          <w:ilvl w:val="0"/>
          <w:numId w:val="3"/>
        </w:numPr>
        <w:spacing w:after="60"/>
      </w:pPr>
      <w:r>
        <w:rPr>
          <w:sz w:val="22"/>
          <w:szCs w:val="22"/>
        </w:rPr>
        <w:t>Search agent — a reusable search strategy for the topic (</w:t>
      </w:r>
      <w:proofErr w:type="spellStart"/>
      <w:r>
        <w:rPr>
          <w:sz w:val="22"/>
          <w:szCs w:val="22"/>
        </w:rPr>
        <w:t>MeSH</w:t>
      </w:r>
      <w:proofErr w:type="spellEnd"/>
      <w:r>
        <w:rPr>
          <w:sz w:val="22"/>
          <w:szCs w:val="22"/>
        </w:rPr>
        <w:t xml:space="preserve"> terms + concept blocks, e.g. disease terms crossed with each mechanism of interest), with filters for study type and recency. It searches PubMed live through the connector, removes duplicates, and screens hits against inclusion criteria.</w:t>
      </w:r>
    </w:p>
    <w:p w14:paraId="0AF1C247" w14:textId="77777777" w:rsidR="00932E4A" w:rsidRDefault="000A0FB0">
      <w:pPr>
        <w:pStyle w:val="ListParagraph"/>
        <w:numPr>
          <w:ilvl w:val="0"/>
          <w:numId w:val="3"/>
        </w:numPr>
        <w:spacing w:after="60"/>
      </w:pPr>
      <w:r>
        <w:rPr>
          <w:sz w:val="22"/>
          <w:szCs w:val="22"/>
        </w:rPr>
        <w:lastRenderedPageBreak/>
        <w:t xml:space="preserve">Citation module — takes the screened records and formats them deterministically: a numbered reference list in your chosen style, plus </w:t>
      </w:r>
      <w:proofErr w:type="spellStart"/>
      <w:r>
        <w:rPr>
          <w:sz w:val="22"/>
          <w:szCs w:val="22"/>
        </w:rPr>
        <w:t>BibTeX</w:t>
      </w:r>
      <w:proofErr w:type="spellEnd"/>
      <w:r>
        <w:rPr>
          <w:sz w:val="22"/>
          <w:szCs w:val="22"/>
        </w:rPr>
        <w:t>/RIS files ready to import into Zotero or EndNote.</w:t>
      </w:r>
    </w:p>
    <w:p w14:paraId="0AF1C248" w14:textId="77777777" w:rsidR="00932E4A" w:rsidRDefault="000A0FB0">
      <w:pPr>
        <w:pStyle w:val="Heading2"/>
        <w:spacing w:before="240" w:after="100"/>
      </w:pPr>
      <w:r>
        <w:rPr>
          <w:b/>
          <w:bCs/>
          <w:color w:val="2E86AB"/>
          <w:sz w:val="24"/>
          <w:szCs w:val="24"/>
        </w:rPr>
        <w:t>Sample of the screened output</w:t>
      </w:r>
    </w:p>
    <w:p w14:paraId="0AF1C249" w14:textId="77777777" w:rsidR="00932E4A" w:rsidRDefault="000A0FB0">
      <w:pPr>
        <w:spacing w:after="120"/>
      </w:pPr>
      <w:r>
        <w:rPr>
          <w:sz w:val="22"/>
          <w:szCs w:val="22"/>
        </w:rPr>
        <w:t>Claude returns a table like this, ranked by relevance to the review rather than by citation count (useful when much of the literature is very recent):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1300"/>
        <w:gridCol w:w="1900"/>
        <w:gridCol w:w="2700"/>
      </w:tblGrid>
      <w:tr w:rsidR="00932E4A" w14:paraId="0AF1C24F" w14:textId="77777777">
        <w:trPr>
          <w:tblHeader/>
        </w:trPr>
        <w:tc>
          <w:tcPr>
            <w:tcW w:w="500" w:type="dxa"/>
            <w:shd w:val="clear" w:color="auto" w:fill="1F4E5F"/>
            <w:tcMar>
              <w:top w:w="80" w:type="dxa"/>
              <w:left w:w="100" w:type="dxa"/>
              <w:bottom w:w="80" w:type="dxa"/>
              <w:right w:w="100" w:type="dxa"/>
            </w:tcMar>
          </w:tcPr>
          <w:p w14:paraId="0AF1C24A" w14:textId="77777777" w:rsidR="00932E4A" w:rsidRDefault="000A0FB0">
            <w:r>
              <w:rPr>
                <w:b/>
                <w:bCs/>
                <w:color w:val="FFFFFF"/>
                <w:sz w:val="18"/>
                <w:szCs w:val="18"/>
              </w:rPr>
              <w:t>#</w:t>
            </w:r>
          </w:p>
        </w:tc>
        <w:tc>
          <w:tcPr>
            <w:tcW w:w="2600" w:type="dxa"/>
            <w:shd w:val="clear" w:color="auto" w:fill="1F4E5F"/>
            <w:tcMar>
              <w:top w:w="80" w:type="dxa"/>
              <w:left w:w="100" w:type="dxa"/>
              <w:bottom w:w="80" w:type="dxa"/>
              <w:right w:w="100" w:type="dxa"/>
            </w:tcMar>
          </w:tcPr>
          <w:p w14:paraId="0AF1C24B" w14:textId="77777777" w:rsidR="00932E4A" w:rsidRDefault="000A0FB0">
            <w:r>
              <w:rPr>
                <w:b/>
                <w:bCs/>
                <w:color w:val="FFFFFF"/>
                <w:sz w:val="18"/>
                <w:szCs w:val="18"/>
              </w:rPr>
              <w:t>Paper</w:t>
            </w:r>
          </w:p>
        </w:tc>
        <w:tc>
          <w:tcPr>
            <w:tcW w:w="1300" w:type="dxa"/>
            <w:shd w:val="clear" w:color="auto" w:fill="1F4E5F"/>
            <w:tcMar>
              <w:top w:w="80" w:type="dxa"/>
              <w:left w:w="100" w:type="dxa"/>
              <w:bottom w:w="80" w:type="dxa"/>
              <w:right w:w="100" w:type="dxa"/>
            </w:tcMar>
          </w:tcPr>
          <w:p w14:paraId="0AF1C24C" w14:textId="77777777" w:rsidR="00932E4A" w:rsidRDefault="000A0FB0">
            <w:r>
              <w:rPr>
                <w:b/>
                <w:bCs/>
                <w:color w:val="FFFFFF"/>
                <w:sz w:val="18"/>
                <w:szCs w:val="18"/>
              </w:rPr>
              <w:t>Type</w:t>
            </w:r>
          </w:p>
        </w:tc>
        <w:tc>
          <w:tcPr>
            <w:tcW w:w="1900" w:type="dxa"/>
            <w:shd w:val="clear" w:color="auto" w:fill="1F4E5F"/>
            <w:tcMar>
              <w:top w:w="80" w:type="dxa"/>
              <w:left w:w="100" w:type="dxa"/>
              <w:bottom w:w="80" w:type="dxa"/>
              <w:right w:w="100" w:type="dxa"/>
            </w:tcMar>
          </w:tcPr>
          <w:p w14:paraId="0AF1C24D" w14:textId="77777777" w:rsidR="00932E4A" w:rsidRDefault="000A0FB0">
            <w:r>
              <w:rPr>
                <w:b/>
                <w:bCs/>
                <w:color w:val="FFFFFF"/>
                <w:sz w:val="18"/>
                <w:szCs w:val="18"/>
              </w:rPr>
              <w:t>Focus</w:t>
            </w:r>
          </w:p>
        </w:tc>
        <w:tc>
          <w:tcPr>
            <w:tcW w:w="2700" w:type="dxa"/>
            <w:shd w:val="clear" w:color="auto" w:fill="1F4E5F"/>
            <w:tcMar>
              <w:top w:w="80" w:type="dxa"/>
              <w:left w:w="100" w:type="dxa"/>
              <w:bottom w:w="80" w:type="dxa"/>
              <w:right w:w="100" w:type="dxa"/>
            </w:tcMar>
          </w:tcPr>
          <w:p w14:paraId="0AF1C24E" w14:textId="77777777" w:rsidR="00932E4A" w:rsidRDefault="000A0FB0">
            <w:r>
              <w:rPr>
                <w:b/>
                <w:bCs/>
                <w:color w:val="FFFFFF"/>
                <w:sz w:val="18"/>
                <w:szCs w:val="18"/>
              </w:rPr>
              <w:t>Why it matters</w:t>
            </w:r>
          </w:p>
        </w:tc>
      </w:tr>
      <w:tr w:rsidR="00932E4A" w14:paraId="0AF1C255" w14:textId="77777777">
        <w:tc>
          <w:tcPr>
            <w:tcW w:w="500" w:type="dxa"/>
            <w:shd w:val="clear" w:color="auto" w:fill="FFFFFF"/>
            <w:tcMar>
              <w:top w:w="80" w:type="dxa"/>
              <w:left w:w="100" w:type="dxa"/>
              <w:bottom w:w="80" w:type="dxa"/>
              <w:right w:w="100" w:type="dxa"/>
            </w:tcMar>
          </w:tcPr>
          <w:p w14:paraId="0AF1C250" w14:textId="77777777" w:rsidR="00932E4A" w:rsidRDefault="000A0FB0">
            <w:r>
              <w:rPr>
                <w:sz w:val="18"/>
                <w:szCs w:val="18"/>
              </w:rPr>
              <w:t>1</w:t>
            </w:r>
          </w:p>
        </w:tc>
        <w:tc>
          <w:tcPr>
            <w:tcW w:w="2600" w:type="dxa"/>
            <w:shd w:val="clear" w:color="auto" w:fill="FFFFFF"/>
            <w:tcMar>
              <w:top w:w="80" w:type="dxa"/>
              <w:left w:w="100" w:type="dxa"/>
              <w:bottom w:w="80" w:type="dxa"/>
              <w:right w:w="100" w:type="dxa"/>
            </w:tcMar>
          </w:tcPr>
          <w:p w14:paraId="0AF1C251" w14:textId="77777777" w:rsidR="00932E4A" w:rsidRDefault="000A0FB0">
            <w:r>
              <w:rPr>
                <w:sz w:val="18"/>
                <w:szCs w:val="18"/>
              </w:rPr>
              <w:t>Aine et al. 2025, Nat. Commun.</w:t>
            </w:r>
          </w:p>
        </w:tc>
        <w:tc>
          <w:tcPr>
            <w:tcW w:w="1300" w:type="dxa"/>
            <w:shd w:val="clear" w:color="auto" w:fill="FFFFFF"/>
            <w:tcMar>
              <w:top w:w="80" w:type="dxa"/>
              <w:left w:w="100" w:type="dxa"/>
              <w:bottom w:w="80" w:type="dxa"/>
              <w:right w:w="100" w:type="dxa"/>
            </w:tcMar>
          </w:tcPr>
          <w:p w14:paraId="0AF1C252" w14:textId="77777777" w:rsidR="00932E4A" w:rsidRDefault="000A0FB0">
            <w:r>
              <w:rPr>
                <w:sz w:val="18"/>
                <w:szCs w:val="18"/>
              </w:rPr>
              <w:t>Primary</w:t>
            </w:r>
          </w:p>
        </w:tc>
        <w:tc>
          <w:tcPr>
            <w:tcW w:w="1900" w:type="dxa"/>
            <w:shd w:val="clear" w:color="auto" w:fill="FFFFFF"/>
            <w:tcMar>
              <w:top w:w="80" w:type="dxa"/>
              <w:left w:w="100" w:type="dxa"/>
              <w:bottom w:w="80" w:type="dxa"/>
              <w:right w:w="100" w:type="dxa"/>
            </w:tcMar>
          </w:tcPr>
          <w:p w14:paraId="0AF1C253" w14:textId="77777777" w:rsidR="00932E4A" w:rsidRDefault="000A0FB0">
            <w:r>
              <w:rPr>
                <w:sz w:val="18"/>
                <w:szCs w:val="18"/>
              </w:rPr>
              <w:t>DNA methylation</w:t>
            </w:r>
          </w:p>
        </w:tc>
        <w:tc>
          <w:tcPr>
            <w:tcW w:w="2700" w:type="dxa"/>
            <w:shd w:val="clear" w:color="auto" w:fill="FFFFFF"/>
            <w:tcMar>
              <w:top w:w="80" w:type="dxa"/>
              <w:left w:w="100" w:type="dxa"/>
              <w:bottom w:w="80" w:type="dxa"/>
              <w:right w:w="100" w:type="dxa"/>
            </w:tcMar>
          </w:tcPr>
          <w:p w14:paraId="0AF1C254" w14:textId="77777777" w:rsidR="00932E4A" w:rsidRDefault="000A0FB0">
            <w:r>
              <w:rPr>
                <w:sz w:val="18"/>
                <w:szCs w:val="18"/>
              </w:rPr>
              <w:t>Genome-wide methylation map splitting TNBC into epigenetic subtypes</w:t>
            </w:r>
          </w:p>
        </w:tc>
      </w:tr>
      <w:tr w:rsidR="00932E4A" w14:paraId="0AF1C25B" w14:textId="77777777">
        <w:tc>
          <w:tcPr>
            <w:tcW w:w="500" w:type="dxa"/>
            <w:shd w:val="clear" w:color="auto" w:fill="F4F8FA"/>
            <w:tcMar>
              <w:top w:w="80" w:type="dxa"/>
              <w:left w:w="100" w:type="dxa"/>
              <w:bottom w:w="80" w:type="dxa"/>
              <w:right w:w="100" w:type="dxa"/>
            </w:tcMar>
          </w:tcPr>
          <w:p w14:paraId="0AF1C256" w14:textId="77777777" w:rsidR="00932E4A" w:rsidRDefault="000A0FB0">
            <w:r>
              <w:rPr>
                <w:sz w:val="18"/>
                <w:szCs w:val="18"/>
              </w:rPr>
              <w:t>2</w:t>
            </w:r>
          </w:p>
        </w:tc>
        <w:tc>
          <w:tcPr>
            <w:tcW w:w="2600" w:type="dxa"/>
            <w:shd w:val="clear" w:color="auto" w:fill="F4F8FA"/>
            <w:tcMar>
              <w:top w:w="80" w:type="dxa"/>
              <w:left w:w="100" w:type="dxa"/>
              <w:bottom w:w="80" w:type="dxa"/>
              <w:right w:w="100" w:type="dxa"/>
            </w:tcMar>
          </w:tcPr>
          <w:p w14:paraId="0AF1C257" w14:textId="77777777" w:rsidR="00932E4A" w:rsidRDefault="000A0FB0">
            <w:r>
              <w:rPr>
                <w:sz w:val="18"/>
                <w:szCs w:val="18"/>
              </w:rPr>
              <w:t>Bartlett et al. 2022, Genome Med.</w:t>
            </w:r>
          </w:p>
        </w:tc>
        <w:tc>
          <w:tcPr>
            <w:tcW w:w="1300" w:type="dxa"/>
            <w:shd w:val="clear" w:color="auto" w:fill="F4F8FA"/>
            <w:tcMar>
              <w:top w:w="80" w:type="dxa"/>
              <w:left w:w="100" w:type="dxa"/>
              <w:bottom w:w="80" w:type="dxa"/>
              <w:right w:w="100" w:type="dxa"/>
            </w:tcMar>
          </w:tcPr>
          <w:p w14:paraId="0AF1C258" w14:textId="77777777" w:rsidR="00932E4A" w:rsidRDefault="000A0FB0">
            <w:r>
              <w:rPr>
                <w:sz w:val="18"/>
                <w:szCs w:val="18"/>
              </w:rPr>
              <w:t>RCT</w:t>
            </w:r>
          </w:p>
        </w:tc>
        <w:tc>
          <w:tcPr>
            <w:tcW w:w="1900" w:type="dxa"/>
            <w:shd w:val="clear" w:color="auto" w:fill="F4F8FA"/>
            <w:tcMar>
              <w:top w:w="80" w:type="dxa"/>
              <w:left w:w="100" w:type="dxa"/>
              <w:bottom w:w="80" w:type="dxa"/>
              <w:right w:w="100" w:type="dxa"/>
            </w:tcMar>
          </w:tcPr>
          <w:p w14:paraId="0AF1C259" w14:textId="77777777" w:rsidR="00932E4A" w:rsidRDefault="000A0FB0">
            <w:r>
              <w:rPr>
                <w:sz w:val="18"/>
                <w:szCs w:val="18"/>
              </w:rPr>
              <w:t>DNA methylation</w:t>
            </w:r>
          </w:p>
        </w:tc>
        <w:tc>
          <w:tcPr>
            <w:tcW w:w="2700" w:type="dxa"/>
            <w:shd w:val="clear" w:color="auto" w:fill="F4F8FA"/>
            <w:tcMar>
              <w:top w:w="80" w:type="dxa"/>
              <w:left w:w="100" w:type="dxa"/>
              <w:bottom w:w="80" w:type="dxa"/>
              <w:right w:w="100" w:type="dxa"/>
            </w:tcMar>
          </w:tcPr>
          <w:p w14:paraId="0AF1C25A" w14:textId="77777777" w:rsidR="00932E4A" w:rsidRDefault="000A0FB0">
            <w:r>
              <w:rPr>
                <w:sz w:val="18"/>
                <w:szCs w:val="18"/>
              </w:rPr>
              <w:t>Human trial linking a drug to lower methylation-based risk markers</w:t>
            </w:r>
          </w:p>
        </w:tc>
      </w:tr>
      <w:tr w:rsidR="00932E4A" w14:paraId="0AF1C261" w14:textId="77777777">
        <w:tc>
          <w:tcPr>
            <w:tcW w:w="500" w:type="dxa"/>
            <w:shd w:val="clear" w:color="auto" w:fill="FFFFFF"/>
            <w:tcMar>
              <w:top w:w="80" w:type="dxa"/>
              <w:left w:w="100" w:type="dxa"/>
              <w:bottom w:w="80" w:type="dxa"/>
              <w:right w:w="100" w:type="dxa"/>
            </w:tcMar>
          </w:tcPr>
          <w:p w14:paraId="0AF1C25C" w14:textId="77777777" w:rsidR="00932E4A" w:rsidRDefault="000A0FB0">
            <w:r>
              <w:rPr>
                <w:sz w:val="18"/>
                <w:szCs w:val="18"/>
              </w:rPr>
              <w:t>3</w:t>
            </w:r>
          </w:p>
        </w:tc>
        <w:tc>
          <w:tcPr>
            <w:tcW w:w="2600" w:type="dxa"/>
            <w:shd w:val="clear" w:color="auto" w:fill="FFFFFF"/>
            <w:tcMar>
              <w:top w:w="80" w:type="dxa"/>
              <w:left w:w="100" w:type="dxa"/>
              <w:bottom w:w="80" w:type="dxa"/>
              <w:right w:w="100" w:type="dxa"/>
            </w:tcMar>
          </w:tcPr>
          <w:p w14:paraId="0AF1C25D" w14:textId="77777777" w:rsidR="00932E4A" w:rsidRDefault="000A0FB0">
            <w:r>
              <w:rPr>
                <w:sz w:val="18"/>
                <w:szCs w:val="18"/>
              </w:rPr>
              <w:t>Choudhary et al. 2026, Epigenomics</w:t>
            </w:r>
          </w:p>
        </w:tc>
        <w:tc>
          <w:tcPr>
            <w:tcW w:w="1300" w:type="dxa"/>
            <w:shd w:val="clear" w:color="auto" w:fill="FFFFFF"/>
            <w:tcMar>
              <w:top w:w="80" w:type="dxa"/>
              <w:left w:w="100" w:type="dxa"/>
              <w:bottom w:w="80" w:type="dxa"/>
              <w:right w:w="100" w:type="dxa"/>
            </w:tcMar>
          </w:tcPr>
          <w:p w14:paraId="0AF1C25E" w14:textId="77777777" w:rsidR="00932E4A" w:rsidRDefault="000A0FB0">
            <w:r>
              <w:rPr>
                <w:sz w:val="18"/>
                <w:szCs w:val="18"/>
              </w:rPr>
              <w:t>Review</w:t>
            </w:r>
          </w:p>
        </w:tc>
        <w:tc>
          <w:tcPr>
            <w:tcW w:w="1900" w:type="dxa"/>
            <w:shd w:val="clear" w:color="auto" w:fill="FFFFFF"/>
            <w:tcMar>
              <w:top w:w="80" w:type="dxa"/>
              <w:left w:w="100" w:type="dxa"/>
              <w:bottom w:w="80" w:type="dxa"/>
              <w:right w:w="100" w:type="dxa"/>
            </w:tcMar>
          </w:tcPr>
          <w:p w14:paraId="0AF1C25F" w14:textId="77777777" w:rsidR="00932E4A" w:rsidRDefault="000A0FB0">
            <w:r>
              <w:rPr>
                <w:sz w:val="18"/>
                <w:szCs w:val="18"/>
              </w:rPr>
              <w:t>Multi-axis</w:t>
            </w:r>
          </w:p>
        </w:tc>
        <w:tc>
          <w:tcPr>
            <w:tcW w:w="2700" w:type="dxa"/>
            <w:shd w:val="clear" w:color="auto" w:fill="FFFFFF"/>
            <w:tcMar>
              <w:top w:w="80" w:type="dxa"/>
              <w:left w:w="100" w:type="dxa"/>
              <w:bottom w:w="80" w:type="dxa"/>
              <w:right w:w="100" w:type="dxa"/>
            </w:tcMar>
          </w:tcPr>
          <w:p w14:paraId="0AF1C260" w14:textId="77777777" w:rsidR="00932E4A" w:rsidRDefault="000A0FB0">
            <w:r>
              <w:rPr>
                <w:sz w:val="18"/>
                <w:szCs w:val="18"/>
              </w:rPr>
              <w:t>Broad overview — good background for an introduction</w:t>
            </w:r>
          </w:p>
        </w:tc>
      </w:tr>
      <w:tr w:rsidR="00932E4A" w14:paraId="0AF1C267" w14:textId="77777777">
        <w:tc>
          <w:tcPr>
            <w:tcW w:w="500" w:type="dxa"/>
            <w:shd w:val="clear" w:color="auto" w:fill="F4F8FA"/>
            <w:tcMar>
              <w:top w:w="80" w:type="dxa"/>
              <w:left w:w="100" w:type="dxa"/>
              <w:bottom w:w="80" w:type="dxa"/>
              <w:right w:w="100" w:type="dxa"/>
            </w:tcMar>
          </w:tcPr>
          <w:p w14:paraId="0AF1C262" w14:textId="77777777" w:rsidR="00932E4A" w:rsidRDefault="000A0FB0">
            <w:r>
              <w:rPr>
                <w:sz w:val="18"/>
                <w:szCs w:val="18"/>
              </w:rPr>
              <w:t>7</w:t>
            </w:r>
          </w:p>
        </w:tc>
        <w:tc>
          <w:tcPr>
            <w:tcW w:w="2600" w:type="dxa"/>
            <w:shd w:val="clear" w:color="auto" w:fill="F4F8FA"/>
            <w:tcMar>
              <w:top w:w="80" w:type="dxa"/>
              <w:left w:w="100" w:type="dxa"/>
              <w:bottom w:w="80" w:type="dxa"/>
              <w:right w:w="100" w:type="dxa"/>
            </w:tcMar>
          </w:tcPr>
          <w:p w14:paraId="0AF1C263" w14:textId="77777777" w:rsidR="00932E4A" w:rsidRDefault="000A0FB0">
            <w:proofErr w:type="spellStart"/>
            <w:r>
              <w:rPr>
                <w:sz w:val="18"/>
                <w:szCs w:val="18"/>
              </w:rPr>
              <w:t>Ogikubo</w:t>
            </w:r>
            <w:proofErr w:type="spellEnd"/>
            <w:r>
              <w:rPr>
                <w:sz w:val="18"/>
                <w:szCs w:val="18"/>
              </w:rPr>
              <w:t xml:space="preserve"> et al. 2025, Cancer Sci.</w:t>
            </w:r>
          </w:p>
        </w:tc>
        <w:tc>
          <w:tcPr>
            <w:tcW w:w="1300" w:type="dxa"/>
            <w:shd w:val="clear" w:color="auto" w:fill="F4F8FA"/>
            <w:tcMar>
              <w:top w:w="80" w:type="dxa"/>
              <w:left w:w="100" w:type="dxa"/>
              <w:bottom w:w="80" w:type="dxa"/>
              <w:right w:w="100" w:type="dxa"/>
            </w:tcMar>
          </w:tcPr>
          <w:p w14:paraId="0AF1C264" w14:textId="77777777" w:rsidR="00932E4A" w:rsidRDefault="000A0FB0">
            <w:r>
              <w:rPr>
                <w:sz w:val="18"/>
                <w:szCs w:val="18"/>
              </w:rPr>
              <w:t>Primary</w:t>
            </w:r>
          </w:p>
        </w:tc>
        <w:tc>
          <w:tcPr>
            <w:tcW w:w="1900" w:type="dxa"/>
            <w:shd w:val="clear" w:color="auto" w:fill="F4F8FA"/>
            <w:tcMar>
              <w:top w:w="80" w:type="dxa"/>
              <w:left w:w="100" w:type="dxa"/>
              <w:bottom w:w="80" w:type="dxa"/>
              <w:right w:w="100" w:type="dxa"/>
            </w:tcMar>
          </w:tcPr>
          <w:p w14:paraId="0AF1C265" w14:textId="77777777" w:rsidR="00932E4A" w:rsidRDefault="000A0FB0">
            <w:r>
              <w:rPr>
                <w:sz w:val="18"/>
                <w:szCs w:val="18"/>
              </w:rPr>
              <w:t>Super-enhancers</w:t>
            </w:r>
          </w:p>
        </w:tc>
        <w:tc>
          <w:tcPr>
            <w:tcW w:w="2700" w:type="dxa"/>
            <w:shd w:val="clear" w:color="auto" w:fill="F4F8FA"/>
            <w:tcMar>
              <w:top w:w="80" w:type="dxa"/>
              <w:left w:w="100" w:type="dxa"/>
              <w:bottom w:w="80" w:type="dxa"/>
              <w:right w:w="100" w:type="dxa"/>
            </w:tcMar>
          </w:tcPr>
          <w:p w14:paraId="0AF1C266" w14:textId="77777777" w:rsidR="00932E4A" w:rsidRDefault="000A0FB0">
            <w:r>
              <w:rPr>
                <w:sz w:val="18"/>
                <w:szCs w:val="18"/>
              </w:rPr>
              <w:t>Mechanistic link between a transcription factor and metastasis</w:t>
            </w:r>
          </w:p>
        </w:tc>
      </w:tr>
      <w:tr w:rsidR="00932E4A" w14:paraId="0AF1C26D" w14:textId="77777777">
        <w:tc>
          <w:tcPr>
            <w:tcW w:w="500" w:type="dxa"/>
            <w:shd w:val="clear" w:color="auto" w:fill="FFFFFF"/>
            <w:tcMar>
              <w:top w:w="80" w:type="dxa"/>
              <w:left w:w="100" w:type="dxa"/>
              <w:bottom w:w="80" w:type="dxa"/>
              <w:right w:w="100" w:type="dxa"/>
            </w:tcMar>
          </w:tcPr>
          <w:p w14:paraId="0AF1C268" w14:textId="77777777" w:rsidR="00932E4A" w:rsidRDefault="000A0FB0">
            <w:r>
              <w:rPr>
                <w:sz w:val="18"/>
                <w:szCs w:val="18"/>
              </w:rPr>
              <w:t>16</w:t>
            </w:r>
          </w:p>
        </w:tc>
        <w:tc>
          <w:tcPr>
            <w:tcW w:w="2600" w:type="dxa"/>
            <w:shd w:val="clear" w:color="auto" w:fill="FFFFFF"/>
            <w:tcMar>
              <w:top w:w="80" w:type="dxa"/>
              <w:left w:w="100" w:type="dxa"/>
              <w:bottom w:w="80" w:type="dxa"/>
              <w:right w:w="100" w:type="dxa"/>
            </w:tcMar>
          </w:tcPr>
          <w:p w14:paraId="0AF1C269" w14:textId="77777777" w:rsidR="00932E4A" w:rsidRDefault="000A0FB0">
            <w:r>
              <w:rPr>
                <w:sz w:val="18"/>
                <w:szCs w:val="18"/>
              </w:rPr>
              <w:t>Zeng et al. 2026, J. Med. Chem.</w:t>
            </w:r>
          </w:p>
        </w:tc>
        <w:tc>
          <w:tcPr>
            <w:tcW w:w="1300" w:type="dxa"/>
            <w:shd w:val="clear" w:color="auto" w:fill="FFFFFF"/>
            <w:tcMar>
              <w:top w:w="80" w:type="dxa"/>
              <w:left w:w="100" w:type="dxa"/>
              <w:bottom w:w="80" w:type="dxa"/>
              <w:right w:w="100" w:type="dxa"/>
            </w:tcMar>
          </w:tcPr>
          <w:p w14:paraId="0AF1C26A" w14:textId="77777777" w:rsidR="00932E4A" w:rsidRDefault="000A0FB0">
            <w:r>
              <w:rPr>
                <w:sz w:val="18"/>
                <w:szCs w:val="18"/>
              </w:rPr>
              <w:t>Perspective</w:t>
            </w:r>
          </w:p>
        </w:tc>
        <w:tc>
          <w:tcPr>
            <w:tcW w:w="1900" w:type="dxa"/>
            <w:shd w:val="clear" w:color="auto" w:fill="FFFFFF"/>
            <w:tcMar>
              <w:top w:w="80" w:type="dxa"/>
              <w:left w:w="100" w:type="dxa"/>
              <w:bottom w:w="80" w:type="dxa"/>
              <w:right w:w="100" w:type="dxa"/>
            </w:tcMar>
          </w:tcPr>
          <w:p w14:paraId="0AF1C26B" w14:textId="77777777" w:rsidR="00932E4A" w:rsidRDefault="000A0FB0">
            <w:r>
              <w:rPr>
                <w:sz w:val="18"/>
                <w:szCs w:val="18"/>
              </w:rPr>
              <w:t>Drug design</w:t>
            </w:r>
          </w:p>
        </w:tc>
        <w:tc>
          <w:tcPr>
            <w:tcW w:w="2700" w:type="dxa"/>
            <w:shd w:val="clear" w:color="auto" w:fill="FFFFFF"/>
            <w:tcMar>
              <w:top w:w="80" w:type="dxa"/>
              <w:left w:w="100" w:type="dxa"/>
              <w:bottom w:w="80" w:type="dxa"/>
              <w:right w:w="100" w:type="dxa"/>
            </w:tcMar>
          </w:tcPr>
          <w:p w14:paraId="0AF1C26C" w14:textId="77777777" w:rsidR="00932E4A" w:rsidRDefault="000A0FB0">
            <w:r>
              <w:rPr>
                <w:sz w:val="18"/>
                <w:szCs w:val="18"/>
              </w:rPr>
              <w:t>Framing for how to durably target the epigenome</w:t>
            </w:r>
          </w:p>
        </w:tc>
      </w:tr>
    </w:tbl>
    <w:p w14:paraId="0AF1C26E" w14:textId="77777777" w:rsidR="00932E4A" w:rsidRDefault="00932E4A"/>
    <w:p w14:paraId="0AF1C26F" w14:textId="77777777" w:rsidR="00932E4A" w:rsidRDefault="000A0FB0">
      <w:pPr>
        <w:pStyle w:val="Heading1"/>
        <w:pBdr>
          <w:bottom w:val="single" w:sz="8" w:space="4" w:color="1F4E5F"/>
        </w:pBdr>
        <w:spacing w:before="360" w:after="160"/>
      </w:pPr>
      <w:r>
        <w:rPr>
          <w:b/>
          <w:bCs/>
          <w:color w:val="1F4E5F"/>
          <w:sz w:val="30"/>
          <w:szCs w:val="30"/>
        </w:rPr>
        <w:t>4. Finding the Gaps in a Field</w:t>
      </w:r>
    </w:p>
    <w:p w14:paraId="0AF1C270" w14:textId="77777777" w:rsidR="00932E4A" w:rsidRDefault="000A0FB0">
      <w:pPr>
        <w:spacing w:after="120"/>
      </w:pPr>
      <w:r>
        <w:rPr>
          <w:sz w:val="22"/>
          <w:szCs w:val="22"/>
        </w:rPr>
        <w:t>Asking Claude something like “what is the gap in this field?” prompts it to pull approximate publication counts per subtopic from PubMed, rather than just asserting an opinion. The imbalance across subtopics is itself a signal of where the open questions 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00"/>
      </w:tblGrid>
      <w:tr w:rsidR="00932E4A" w14:paraId="0AF1C274" w14:textId="77777777">
        <w:trPr>
          <w:tblHeader/>
        </w:trPr>
        <w:tc>
          <w:tcPr>
            <w:tcW w:w="4200" w:type="dxa"/>
            <w:shd w:val="clear" w:color="auto" w:fill="1F4E5F"/>
            <w:tcMar>
              <w:top w:w="80" w:type="dxa"/>
              <w:left w:w="100" w:type="dxa"/>
              <w:bottom w:w="80" w:type="dxa"/>
              <w:right w:w="100" w:type="dxa"/>
            </w:tcMar>
          </w:tcPr>
          <w:p w14:paraId="0AF1C271" w14:textId="77777777" w:rsidR="00932E4A" w:rsidRDefault="000A0FB0">
            <w:r>
              <w:rPr>
                <w:b/>
                <w:bCs/>
                <w:color w:val="FFFFFF"/>
                <w:sz w:val="18"/>
                <w:szCs w:val="18"/>
              </w:rPr>
              <w:t>Subtopic</w:t>
            </w:r>
          </w:p>
        </w:tc>
        <w:tc>
          <w:tcPr>
            <w:tcW w:w="2400" w:type="dxa"/>
            <w:shd w:val="clear" w:color="auto" w:fill="1F4E5F"/>
            <w:tcMar>
              <w:top w:w="80" w:type="dxa"/>
              <w:left w:w="100" w:type="dxa"/>
              <w:bottom w:w="80" w:type="dxa"/>
              <w:right w:w="100" w:type="dxa"/>
            </w:tcMar>
          </w:tcPr>
          <w:p w14:paraId="0AF1C272" w14:textId="77777777" w:rsidR="00932E4A" w:rsidRDefault="000A0FB0">
            <w:r>
              <w:rPr>
                <w:b/>
                <w:bCs/>
                <w:color w:val="FFFFFF"/>
                <w:sz w:val="18"/>
                <w:szCs w:val="18"/>
              </w:rPr>
              <w:t>~PubMed papers</w:t>
            </w:r>
          </w:p>
        </w:tc>
        <w:tc>
          <w:tcPr>
            <w:tcW w:w="2400" w:type="dxa"/>
            <w:shd w:val="clear" w:color="auto" w:fill="1F4E5F"/>
            <w:tcMar>
              <w:top w:w="80" w:type="dxa"/>
              <w:left w:w="100" w:type="dxa"/>
              <w:bottom w:w="80" w:type="dxa"/>
              <w:right w:w="100" w:type="dxa"/>
            </w:tcMar>
          </w:tcPr>
          <w:p w14:paraId="0AF1C273" w14:textId="77777777" w:rsidR="00932E4A" w:rsidRDefault="000A0FB0">
            <w:r>
              <w:rPr>
                <w:b/>
                <w:bCs/>
                <w:color w:val="FFFFFF"/>
                <w:sz w:val="18"/>
                <w:szCs w:val="18"/>
              </w:rPr>
              <w:t>Status</w:t>
            </w:r>
          </w:p>
        </w:tc>
      </w:tr>
      <w:tr w:rsidR="00932E4A" w14:paraId="0AF1C278" w14:textId="77777777">
        <w:tc>
          <w:tcPr>
            <w:tcW w:w="4200" w:type="dxa"/>
            <w:shd w:val="clear" w:color="auto" w:fill="FFFFFF"/>
            <w:tcMar>
              <w:top w:w="80" w:type="dxa"/>
              <w:left w:w="100" w:type="dxa"/>
              <w:bottom w:w="80" w:type="dxa"/>
              <w:right w:w="100" w:type="dxa"/>
            </w:tcMar>
          </w:tcPr>
          <w:p w14:paraId="0AF1C275" w14:textId="77777777" w:rsidR="00932E4A" w:rsidRDefault="000A0FB0">
            <w:r>
              <w:rPr>
                <w:sz w:val="18"/>
                <w:szCs w:val="18"/>
              </w:rPr>
              <w:t>Non-coding RNA (lncRNA/miRNA)</w:t>
            </w:r>
          </w:p>
        </w:tc>
        <w:tc>
          <w:tcPr>
            <w:tcW w:w="2400" w:type="dxa"/>
            <w:shd w:val="clear" w:color="auto" w:fill="FFFFFF"/>
            <w:tcMar>
              <w:top w:w="80" w:type="dxa"/>
              <w:left w:w="100" w:type="dxa"/>
              <w:bottom w:w="80" w:type="dxa"/>
              <w:right w:w="100" w:type="dxa"/>
            </w:tcMar>
          </w:tcPr>
          <w:p w14:paraId="0AF1C276" w14:textId="77777777" w:rsidR="00932E4A" w:rsidRDefault="000A0FB0">
            <w:r>
              <w:rPr>
                <w:sz w:val="18"/>
                <w:szCs w:val="18"/>
              </w:rPr>
              <w:t>~1,315</w:t>
            </w:r>
          </w:p>
        </w:tc>
        <w:tc>
          <w:tcPr>
            <w:tcW w:w="2400" w:type="dxa"/>
            <w:shd w:val="clear" w:color="auto" w:fill="FFFFFF"/>
            <w:tcMar>
              <w:top w:w="80" w:type="dxa"/>
              <w:left w:w="100" w:type="dxa"/>
              <w:bottom w:w="80" w:type="dxa"/>
              <w:right w:w="100" w:type="dxa"/>
            </w:tcMar>
          </w:tcPr>
          <w:p w14:paraId="0AF1C277" w14:textId="77777777" w:rsidR="00932E4A" w:rsidRDefault="000A0FB0">
            <w:r>
              <w:rPr>
                <w:sz w:val="18"/>
                <w:szCs w:val="18"/>
              </w:rPr>
              <w:t>Saturated</w:t>
            </w:r>
          </w:p>
        </w:tc>
      </w:tr>
      <w:tr w:rsidR="00932E4A" w14:paraId="0AF1C27C" w14:textId="77777777">
        <w:tc>
          <w:tcPr>
            <w:tcW w:w="4200" w:type="dxa"/>
            <w:shd w:val="clear" w:color="auto" w:fill="F4F8FA"/>
            <w:tcMar>
              <w:top w:w="80" w:type="dxa"/>
              <w:left w:w="100" w:type="dxa"/>
              <w:bottom w:w="80" w:type="dxa"/>
              <w:right w:w="100" w:type="dxa"/>
            </w:tcMar>
          </w:tcPr>
          <w:p w14:paraId="0AF1C279" w14:textId="77777777" w:rsidR="00932E4A" w:rsidRDefault="000A0FB0">
            <w:r>
              <w:rPr>
                <w:sz w:val="18"/>
                <w:szCs w:val="18"/>
              </w:rPr>
              <w:t>DNA methylation</w:t>
            </w:r>
          </w:p>
        </w:tc>
        <w:tc>
          <w:tcPr>
            <w:tcW w:w="2400" w:type="dxa"/>
            <w:shd w:val="clear" w:color="auto" w:fill="F4F8FA"/>
            <w:tcMar>
              <w:top w:w="80" w:type="dxa"/>
              <w:left w:w="100" w:type="dxa"/>
              <w:bottom w:w="80" w:type="dxa"/>
              <w:right w:w="100" w:type="dxa"/>
            </w:tcMar>
          </w:tcPr>
          <w:p w14:paraId="0AF1C27A" w14:textId="77777777" w:rsidR="00932E4A" w:rsidRDefault="000A0FB0">
            <w:r>
              <w:rPr>
                <w:sz w:val="18"/>
                <w:szCs w:val="18"/>
              </w:rPr>
              <w:t>~312</w:t>
            </w:r>
          </w:p>
        </w:tc>
        <w:tc>
          <w:tcPr>
            <w:tcW w:w="2400" w:type="dxa"/>
            <w:shd w:val="clear" w:color="auto" w:fill="F4F8FA"/>
            <w:tcMar>
              <w:top w:w="80" w:type="dxa"/>
              <w:left w:w="100" w:type="dxa"/>
              <w:bottom w:w="80" w:type="dxa"/>
              <w:right w:w="100" w:type="dxa"/>
            </w:tcMar>
          </w:tcPr>
          <w:p w14:paraId="0AF1C27B" w14:textId="77777777" w:rsidR="00932E4A" w:rsidRDefault="000A0FB0">
            <w:proofErr w:type="gramStart"/>
            <w:r>
              <w:rPr>
                <w:sz w:val="18"/>
                <w:szCs w:val="18"/>
              </w:rPr>
              <w:t>Well</w:t>
            </w:r>
            <w:proofErr w:type="gramEnd"/>
            <w:r>
              <w:rPr>
                <w:sz w:val="18"/>
                <w:szCs w:val="18"/>
              </w:rPr>
              <w:t xml:space="preserve"> studied</w:t>
            </w:r>
          </w:p>
        </w:tc>
      </w:tr>
      <w:tr w:rsidR="00932E4A" w14:paraId="0AF1C280" w14:textId="77777777">
        <w:tc>
          <w:tcPr>
            <w:tcW w:w="4200" w:type="dxa"/>
            <w:shd w:val="clear" w:color="auto" w:fill="FFFFFF"/>
            <w:tcMar>
              <w:top w:w="80" w:type="dxa"/>
              <w:left w:w="100" w:type="dxa"/>
              <w:bottom w:w="80" w:type="dxa"/>
              <w:right w:w="100" w:type="dxa"/>
            </w:tcMar>
          </w:tcPr>
          <w:p w14:paraId="0AF1C27D" w14:textId="77777777" w:rsidR="00932E4A" w:rsidRDefault="000A0FB0">
            <w:r>
              <w:rPr>
                <w:sz w:val="18"/>
                <w:szCs w:val="18"/>
              </w:rPr>
              <w:t xml:space="preserve">EZH2 / </w:t>
            </w:r>
            <w:proofErr w:type="spellStart"/>
            <w:r>
              <w:rPr>
                <w:sz w:val="18"/>
                <w:szCs w:val="18"/>
              </w:rPr>
              <w:t>Polycomb</w:t>
            </w:r>
            <w:proofErr w:type="spellEnd"/>
          </w:p>
        </w:tc>
        <w:tc>
          <w:tcPr>
            <w:tcW w:w="2400" w:type="dxa"/>
            <w:shd w:val="clear" w:color="auto" w:fill="FFFFFF"/>
            <w:tcMar>
              <w:top w:w="80" w:type="dxa"/>
              <w:left w:w="100" w:type="dxa"/>
              <w:bottom w:w="80" w:type="dxa"/>
              <w:right w:w="100" w:type="dxa"/>
            </w:tcMar>
          </w:tcPr>
          <w:p w14:paraId="0AF1C27E" w14:textId="77777777" w:rsidR="00932E4A" w:rsidRDefault="000A0FB0">
            <w:r>
              <w:rPr>
                <w:sz w:val="18"/>
                <w:szCs w:val="18"/>
              </w:rPr>
              <w:t>~131</w:t>
            </w:r>
          </w:p>
        </w:tc>
        <w:tc>
          <w:tcPr>
            <w:tcW w:w="2400" w:type="dxa"/>
            <w:shd w:val="clear" w:color="auto" w:fill="FFFFFF"/>
            <w:tcMar>
              <w:top w:w="80" w:type="dxa"/>
              <w:left w:w="100" w:type="dxa"/>
              <w:bottom w:w="80" w:type="dxa"/>
              <w:right w:w="100" w:type="dxa"/>
            </w:tcMar>
          </w:tcPr>
          <w:p w14:paraId="0AF1C27F" w14:textId="77777777" w:rsidR="00932E4A" w:rsidRDefault="000A0FB0">
            <w:r>
              <w:rPr>
                <w:sz w:val="18"/>
                <w:szCs w:val="18"/>
              </w:rPr>
              <w:t>Moderate</w:t>
            </w:r>
          </w:p>
        </w:tc>
      </w:tr>
      <w:tr w:rsidR="00932E4A" w14:paraId="0AF1C284" w14:textId="77777777">
        <w:tc>
          <w:tcPr>
            <w:tcW w:w="4200" w:type="dxa"/>
            <w:shd w:val="clear" w:color="auto" w:fill="F4F8FA"/>
            <w:tcMar>
              <w:top w:w="80" w:type="dxa"/>
              <w:left w:w="100" w:type="dxa"/>
              <w:bottom w:w="80" w:type="dxa"/>
              <w:right w:w="100" w:type="dxa"/>
            </w:tcMar>
          </w:tcPr>
          <w:p w14:paraId="0AF1C281" w14:textId="77777777" w:rsidR="00932E4A" w:rsidRDefault="000A0FB0">
            <w:r>
              <w:rPr>
                <w:sz w:val="18"/>
                <w:szCs w:val="18"/>
              </w:rPr>
              <w:t>Epigenetics + clinical trial</w:t>
            </w:r>
          </w:p>
        </w:tc>
        <w:tc>
          <w:tcPr>
            <w:tcW w:w="2400" w:type="dxa"/>
            <w:shd w:val="clear" w:color="auto" w:fill="F4F8FA"/>
            <w:tcMar>
              <w:top w:w="80" w:type="dxa"/>
              <w:left w:w="100" w:type="dxa"/>
              <w:bottom w:w="80" w:type="dxa"/>
              <w:right w:w="100" w:type="dxa"/>
            </w:tcMar>
          </w:tcPr>
          <w:p w14:paraId="0AF1C282" w14:textId="77777777" w:rsidR="00932E4A" w:rsidRDefault="000A0FB0">
            <w:r>
              <w:rPr>
                <w:sz w:val="18"/>
                <w:szCs w:val="18"/>
              </w:rPr>
              <w:t>~20</w:t>
            </w:r>
          </w:p>
        </w:tc>
        <w:tc>
          <w:tcPr>
            <w:tcW w:w="2400" w:type="dxa"/>
            <w:shd w:val="clear" w:color="auto" w:fill="F4F8FA"/>
            <w:tcMar>
              <w:top w:w="80" w:type="dxa"/>
              <w:left w:w="100" w:type="dxa"/>
              <w:bottom w:w="80" w:type="dxa"/>
              <w:right w:w="100" w:type="dxa"/>
            </w:tcMar>
          </w:tcPr>
          <w:p w14:paraId="0AF1C283" w14:textId="77777777" w:rsidR="00932E4A" w:rsidRDefault="000A0FB0">
            <w:r>
              <w:rPr>
                <w:sz w:val="18"/>
                <w:szCs w:val="18"/>
              </w:rPr>
              <w:t>Gap</w:t>
            </w:r>
          </w:p>
        </w:tc>
      </w:tr>
      <w:tr w:rsidR="00932E4A" w14:paraId="0AF1C288" w14:textId="77777777">
        <w:tc>
          <w:tcPr>
            <w:tcW w:w="4200" w:type="dxa"/>
            <w:shd w:val="clear" w:color="auto" w:fill="FFFFFF"/>
            <w:tcMar>
              <w:top w:w="80" w:type="dxa"/>
              <w:left w:w="100" w:type="dxa"/>
              <w:bottom w:w="80" w:type="dxa"/>
              <w:right w:w="100" w:type="dxa"/>
            </w:tcMar>
          </w:tcPr>
          <w:p w14:paraId="0AF1C285" w14:textId="77777777" w:rsidR="00932E4A" w:rsidRDefault="000A0FB0">
            <w:r>
              <w:rPr>
                <w:sz w:val="18"/>
                <w:szCs w:val="18"/>
              </w:rPr>
              <w:t>Spatial epigenomics</w:t>
            </w:r>
          </w:p>
        </w:tc>
        <w:tc>
          <w:tcPr>
            <w:tcW w:w="2400" w:type="dxa"/>
            <w:shd w:val="clear" w:color="auto" w:fill="FFFFFF"/>
            <w:tcMar>
              <w:top w:w="80" w:type="dxa"/>
              <w:left w:w="100" w:type="dxa"/>
              <w:bottom w:w="80" w:type="dxa"/>
              <w:right w:w="100" w:type="dxa"/>
            </w:tcMar>
          </w:tcPr>
          <w:p w14:paraId="0AF1C286" w14:textId="77777777" w:rsidR="00932E4A" w:rsidRDefault="000A0FB0">
            <w:r>
              <w:rPr>
                <w:sz w:val="18"/>
                <w:szCs w:val="18"/>
              </w:rPr>
              <w:t>~1</w:t>
            </w:r>
          </w:p>
        </w:tc>
        <w:tc>
          <w:tcPr>
            <w:tcW w:w="2400" w:type="dxa"/>
            <w:shd w:val="clear" w:color="auto" w:fill="FFFFFF"/>
            <w:tcMar>
              <w:top w:w="80" w:type="dxa"/>
              <w:left w:w="100" w:type="dxa"/>
              <w:bottom w:w="80" w:type="dxa"/>
              <w:right w:w="100" w:type="dxa"/>
            </w:tcMar>
          </w:tcPr>
          <w:p w14:paraId="0AF1C287" w14:textId="77777777" w:rsidR="00932E4A" w:rsidRDefault="000A0FB0">
            <w:proofErr w:type="gramStart"/>
            <w:r>
              <w:rPr>
                <w:sz w:val="18"/>
                <w:szCs w:val="18"/>
              </w:rPr>
              <w:t>Near-absent</w:t>
            </w:r>
            <w:proofErr w:type="gramEnd"/>
          </w:p>
        </w:tc>
      </w:tr>
    </w:tbl>
    <w:p w14:paraId="0AF1C289" w14:textId="77777777" w:rsidR="00932E4A" w:rsidRDefault="00932E4A">
      <w:pPr>
        <w:spacing w:before="120"/>
      </w:pPr>
    </w:p>
    <w:p w14:paraId="0AF1C28A" w14:textId="77777777" w:rsidR="00932E4A" w:rsidRDefault="000A0FB0">
      <w:pPr>
        <w:spacing w:after="120"/>
      </w:pPr>
      <w:r>
        <w:rPr>
          <w:sz w:val="22"/>
          <w:szCs w:val="22"/>
        </w:rPr>
        <w:t>Claude then groups the gaps into layers a review's discussion section can use, for example:</w:t>
      </w:r>
    </w:p>
    <w:p w14:paraId="0AF1C28B" w14:textId="77777777" w:rsidR="00932E4A" w:rsidRDefault="000A0FB0">
      <w:pPr>
        <w:pStyle w:val="ListParagraph"/>
        <w:numPr>
          <w:ilvl w:val="0"/>
          <w:numId w:val="3"/>
        </w:numPr>
        <w:spacing w:after="60"/>
      </w:pPr>
      <w:r>
        <w:rPr>
          <w:sz w:val="22"/>
          <w:szCs w:val="22"/>
        </w:rPr>
        <w:t>Translational gaps — biology is well studied but rarely reaches clinical trials or validated biomarkers</w:t>
      </w:r>
    </w:p>
    <w:p w14:paraId="0AF1C28C" w14:textId="77777777" w:rsidR="00932E4A" w:rsidRDefault="000A0FB0">
      <w:pPr>
        <w:pStyle w:val="ListParagraph"/>
        <w:numPr>
          <w:ilvl w:val="0"/>
          <w:numId w:val="3"/>
        </w:numPr>
        <w:spacing w:after="60"/>
      </w:pPr>
      <w:r>
        <w:rPr>
          <w:sz w:val="22"/>
          <w:szCs w:val="22"/>
        </w:rPr>
        <w:t>Mechanistic gaps — findings are descriptive/correlational, with limited causal or in-vivo validation</w:t>
      </w:r>
    </w:p>
    <w:p w14:paraId="0AF1C28D" w14:textId="77777777" w:rsidR="00932E4A" w:rsidRDefault="000A0FB0">
      <w:pPr>
        <w:pStyle w:val="ListParagraph"/>
        <w:numPr>
          <w:ilvl w:val="0"/>
          <w:numId w:val="3"/>
        </w:numPr>
        <w:spacing w:after="60"/>
      </w:pPr>
      <w:r>
        <w:rPr>
          <w:sz w:val="22"/>
          <w:szCs w:val="22"/>
        </w:rPr>
        <w:t>Methodological gaps — newer techniques (single-cell, spatial) are barely applied to the topic yet</w:t>
      </w:r>
    </w:p>
    <w:p w14:paraId="0AF1C28E" w14:textId="77777777" w:rsidR="00932E4A" w:rsidRDefault="000A0FB0">
      <w:pPr>
        <w:pStyle w:val="Heading1"/>
        <w:pBdr>
          <w:bottom w:val="single" w:sz="8" w:space="4" w:color="1F4E5F"/>
        </w:pBdr>
        <w:spacing w:before="360" w:after="160"/>
      </w:pPr>
      <w:r>
        <w:rPr>
          <w:b/>
          <w:bCs/>
          <w:color w:val="1F4E5F"/>
          <w:sz w:val="30"/>
          <w:szCs w:val="30"/>
        </w:rPr>
        <w:t>5. From Gap to Proposal: A Drafting Workflow</w:t>
      </w:r>
    </w:p>
    <w:p w14:paraId="0AF1C28F" w14:textId="77777777" w:rsidR="00932E4A" w:rsidRDefault="000A0FB0">
      <w:pPr>
        <w:spacing w:after="120"/>
      </w:pPr>
      <w:r>
        <w:rPr>
          <w:sz w:val="22"/>
          <w:szCs w:val="22"/>
        </w:rPr>
        <w:t xml:space="preserve">A gap on its own isn't a proposal. The same conversation can keep going — carrying one identified gap through the stages a proposal </w:t>
      </w:r>
      <w:proofErr w:type="gramStart"/>
      <w:r>
        <w:rPr>
          <w:sz w:val="22"/>
          <w:szCs w:val="22"/>
        </w:rPr>
        <w:t>actually needs</w:t>
      </w:r>
      <w:proofErr w:type="gramEnd"/>
      <w:r>
        <w:rPr>
          <w:sz w:val="22"/>
          <w:szCs w:val="22"/>
        </w:rPr>
        <w:t>:</w:t>
      </w:r>
    </w:p>
    <w:p w14:paraId="0AF1C290" w14:textId="77777777" w:rsidR="00932E4A" w:rsidRDefault="000A0FB0">
      <w:pPr>
        <w:spacing w:before="120" w:after="200"/>
        <w:jc w:val="center"/>
      </w:pPr>
      <w:proofErr w:type="gramStart"/>
      <w:r>
        <w:rPr>
          <w:b/>
          <w:bCs/>
          <w:color w:val="1F4E5F"/>
          <w:sz w:val="22"/>
          <w:szCs w:val="22"/>
        </w:rPr>
        <w:t>Search  →</w:t>
      </w:r>
      <w:proofErr w:type="gramEnd"/>
      <w:r>
        <w:rPr>
          <w:b/>
          <w:bCs/>
          <w:color w:val="1F4E5F"/>
          <w:sz w:val="22"/>
          <w:szCs w:val="22"/>
        </w:rPr>
        <w:t xml:space="preserve">  </w:t>
      </w:r>
      <w:proofErr w:type="gramStart"/>
      <w:r>
        <w:rPr>
          <w:b/>
          <w:bCs/>
          <w:color w:val="1F4E5F"/>
          <w:sz w:val="22"/>
          <w:szCs w:val="22"/>
        </w:rPr>
        <w:t>Screen  →</w:t>
      </w:r>
      <w:proofErr w:type="gramEnd"/>
      <w:r>
        <w:rPr>
          <w:b/>
          <w:bCs/>
          <w:color w:val="1F4E5F"/>
          <w:sz w:val="22"/>
          <w:szCs w:val="22"/>
        </w:rPr>
        <w:t xml:space="preserve">  </w:t>
      </w:r>
      <w:proofErr w:type="gramStart"/>
      <w:r>
        <w:rPr>
          <w:b/>
          <w:bCs/>
          <w:color w:val="1F4E5F"/>
          <w:sz w:val="22"/>
          <w:szCs w:val="22"/>
        </w:rPr>
        <w:t>Synthesize  →</w:t>
      </w:r>
      <w:proofErr w:type="gramEnd"/>
      <w:r>
        <w:rPr>
          <w:b/>
          <w:bCs/>
          <w:color w:val="1F4E5F"/>
          <w:sz w:val="22"/>
          <w:szCs w:val="22"/>
        </w:rPr>
        <w:t xml:space="preserve">  Spot the </w:t>
      </w:r>
      <w:proofErr w:type="gramStart"/>
      <w:r>
        <w:rPr>
          <w:b/>
          <w:bCs/>
          <w:color w:val="1F4E5F"/>
          <w:sz w:val="22"/>
          <w:szCs w:val="22"/>
        </w:rPr>
        <w:t>Gap  →</w:t>
      </w:r>
      <w:proofErr w:type="gramEnd"/>
      <w:r>
        <w:rPr>
          <w:b/>
          <w:bCs/>
          <w:color w:val="1F4E5F"/>
          <w:sz w:val="22"/>
          <w:szCs w:val="22"/>
        </w:rPr>
        <w:t xml:space="preserve">  Draft an </w:t>
      </w:r>
      <w:proofErr w:type="gramStart"/>
      <w:r>
        <w:rPr>
          <w:b/>
          <w:bCs/>
          <w:color w:val="1F4E5F"/>
          <w:sz w:val="22"/>
          <w:szCs w:val="22"/>
        </w:rPr>
        <w:t>Aim  →</w:t>
      </w:r>
      <w:proofErr w:type="gramEnd"/>
      <w:r>
        <w:rPr>
          <w:b/>
          <w:bCs/>
          <w:color w:val="1F4E5F"/>
          <w:sz w:val="22"/>
          <w:szCs w:val="22"/>
        </w:rPr>
        <w:t xml:space="preserve">  Stress-</w:t>
      </w:r>
      <w:proofErr w:type="gramStart"/>
      <w:r>
        <w:rPr>
          <w:b/>
          <w:bCs/>
          <w:color w:val="1F4E5F"/>
          <w:sz w:val="22"/>
          <w:szCs w:val="22"/>
        </w:rPr>
        <w:t>Test  →</w:t>
      </w:r>
      <w:proofErr w:type="gramEnd"/>
      <w:r>
        <w:rPr>
          <w:b/>
          <w:bCs/>
          <w:color w:val="1F4E5F"/>
          <w:sz w:val="22"/>
          <w:szCs w:val="22"/>
        </w:rPr>
        <w:t xml:space="preserve">  Refine</w:t>
      </w:r>
    </w:p>
    <w:p w14:paraId="0AF1C291" w14:textId="77777777" w:rsidR="00932E4A" w:rsidRDefault="000A0FB0">
      <w:pPr>
        <w:pStyle w:val="Heading2"/>
        <w:spacing w:before="240" w:after="100"/>
      </w:pPr>
      <w:r>
        <w:rPr>
          <w:b/>
          <w:bCs/>
          <w:color w:val="2E86AB"/>
          <w:sz w:val="24"/>
          <w:szCs w:val="24"/>
        </w:rPr>
        <w:t>Worked continuation: turning a gap into a Specific Aim</w:t>
      </w:r>
    </w:p>
    <w:p w14:paraId="0AF1C292" w14:textId="77777777" w:rsidR="00932E4A" w:rsidRDefault="000A0FB0">
      <w:pPr>
        <w:spacing w:after="120"/>
      </w:pPr>
      <w:r>
        <w:rPr>
          <w:sz w:val="22"/>
          <w:szCs w:val="22"/>
        </w:rPr>
        <w:t>Continuing the TNBC example: the clinical-translation gap (“no epigenetic biomarker is prospectively validated to guide TNBC therapy”) becomes the seed for a Specific Aim. Asking Claude to draft one produces something like this: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24"/>
      </w:tblGrid>
      <w:tr w:rsidR="00932E4A" w14:paraId="0AF1C295" w14:textId="77777777">
        <w:trPr>
          <w:cantSplit/>
        </w:trPr>
        <w:tc>
          <w:tcPr>
            <w:tcW w:w="0" w:type="auto"/>
            <w:tcBorders>
              <w:top w:val="single" w:sz="6" w:space="0" w:color="BFD9E0"/>
              <w:left w:val="single" w:sz="6" w:space="0" w:color="BFD9E0"/>
              <w:bottom w:val="single" w:sz="6" w:space="0" w:color="BFD9E0"/>
              <w:right w:val="single" w:sz="6" w:space="0" w:color="BFD9E0"/>
            </w:tcBorders>
            <w:shd w:val="clear" w:color="auto" w:fill="EAF3F6"/>
            <w:tcMar>
              <w:top w:w="120" w:type="dxa"/>
              <w:left w:w="180" w:type="dxa"/>
              <w:bottom w:w="120" w:type="dxa"/>
              <w:right w:w="180" w:type="dxa"/>
            </w:tcMar>
          </w:tcPr>
          <w:p w14:paraId="0AF1C293" w14:textId="77777777" w:rsidR="00932E4A" w:rsidRDefault="000A0FB0">
            <w:pPr>
              <w:spacing w:after="40"/>
            </w:pPr>
            <w:r>
              <w:rPr>
                <w:b/>
                <w:bCs/>
                <w:color w:val="1F4E5F"/>
              </w:rPr>
              <w:lastRenderedPageBreak/>
              <w:t>Illustrative Aim 1 — not a literature-verified claim, a drafting starting point</w:t>
            </w:r>
          </w:p>
          <w:p w14:paraId="0AF1C294" w14:textId="77777777" w:rsidR="00932E4A" w:rsidRDefault="000A0FB0">
            <w:r>
              <w:rPr>
                <w:i/>
                <w:iCs/>
                <w:color w:val="333333"/>
              </w:rPr>
              <w:t>Determine whether pre-treatment cfDNA methylation at BRCA1-associated promoter loci predicts pathologic complete response to neoadjuvant chemoimmunotherapy in TNBC. Hypothesis: higher baseline methylation burden reflects a more epigenetically silenced BRCA1 pathway and associates with greater sensitivity to immune-sensitizing therapy. Approach: bank pre-treatment plasma from an existing neoadjuvant cohort, run targeted methylation sequencing, and correlate results with pathologic response.</w:t>
            </w:r>
          </w:p>
        </w:tc>
      </w:tr>
    </w:tbl>
    <w:p w14:paraId="0AF1C296" w14:textId="77777777" w:rsidR="00932E4A" w:rsidRDefault="000A0FB0">
      <w:pPr>
        <w:pStyle w:val="Heading2"/>
        <w:spacing w:before="240" w:after="100"/>
      </w:pPr>
      <w:r>
        <w:rPr>
          <w:b/>
          <w:bCs/>
          <w:color w:val="2E86AB"/>
          <w:sz w:val="24"/>
          <w:szCs w:val="24"/>
        </w:rPr>
        <w:t>What Claude is good at here — and what still needs you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32E4A" w14:paraId="0AF1C299" w14:textId="77777777">
        <w:trPr>
          <w:tblHeader/>
        </w:trPr>
        <w:tc>
          <w:tcPr>
            <w:tcW w:w="4500" w:type="dxa"/>
            <w:shd w:val="clear" w:color="auto" w:fill="1F4E5F"/>
            <w:tcMar>
              <w:top w:w="80" w:type="dxa"/>
              <w:left w:w="100" w:type="dxa"/>
              <w:bottom w:w="80" w:type="dxa"/>
              <w:right w:w="100" w:type="dxa"/>
            </w:tcMar>
          </w:tcPr>
          <w:p w14:paraId="0AF1C297" w14:textId="77777777" w:rsidR="00932E4A" w:rsidRDefault="000A0FB0">
            <w:r>
              <w:rPr>
                <w:b/>
                <w:bCs/>
                <w:color w:val="FFFFFF"/>
                <w:sz w:val="18"/>
                <w:szCs w:val="18"/>
              </w:rPr>
              <w:t>Claude can help with</w:t>
            </w:r>
          </w:p>
        </w:tc>
        <w:tc>
          <w:tcPr>
            <w:tcW w:w="4500" w:type="dxa"/>
            <w:shd w:val="clear" w:color="auto" w:fill="1F4E5F"/>
            <w:tcMar>
              <w:top w:w="80" w:type="dxa"/>
              <w:left w:w="100" w:type="dxa"/>
              <w:bottom w:w="80" w:type="dxa"/>
              <w:right w:w="100" w:type="dxa"/>
            </w:tcMar>
          </w:tcPr>
          <w:p w14:paraId="0AF1C298" w14:textId="77777777" w:rsidR="00932E4A" w:rsidRDefault="000A0FB0">
            <w:r>
              <w:rPr>
                <w:b/>
                <w:bCs/>
                <w:color w:val="FFFFFF"/>
                <w:sz w:val="18"/>
                <w:szCs w:val="18"/>
              </w:rPr>
              <w:t>You still need to</w:t>
            </w:r>
          </w:p>
        </w:tc>
      </w:tr>
      <w:tr w:rsidR="00932E4A" w14:paraId="0AF1C29C" w14:textId="77777777">
        <w:tc>
          <w:tcPr>
            <w:tcW w:w="4500" w:type="dxa"/>
            <w:shd w:val="clear" w:color="auto" w:fill="FFFFFF"/>
            <w:tcMar>
              <w:top w:w="80" w:type="dxa"/>
              <w:left w:w="100" w:type="dxa"/>
              <w:bottom w:w="80" w:type="dxa"/>
              <w:right w:w="100" w:type="dxa"/>
            </w:tcMar>
          </w:tcPr>
          <w:p w14:paraId="0AF1C29A" w14:textId="77777777" w:rsidR="00932E4A" w:rsidRDefault="000A0FB0">
            <w:r>
              <w:rPr>
                <w:sz w:val="18"/>
                <w:szCs w:val="18"/>
              </w:rPr>
              <w:t>Drafting several aim/hypothesis phrasings quickly</w:t>
            </w:r>
          </w:p>
        </w:tc>
        <w:tc>
          <w:tcPr>
            <w:tcW w:w="4500" w:type="dxa"/>
            <w:shd w:val="clear" w:color="auto" w:fill="FFFFFF"/>
            <w:tcMar>
              <w:top w:w="80" w:type="dxa"/>
              <w:left w:w="100" w:type="dxa"/>
              <w:bottom w:w="80" w:type="dxa"/>
              <w:right w:w="100" w:type="dxa"/>
            </w:tcMar>
          </w:tcPr>
          <w:p w14:paraId="0AF1C29B" w14:textId="77777777" w:rsidR="00932E4A" w:rsidRDefault="000A0FB0">
            <w:r>
              <w:rPr>
                <w:sz w:val="18"/>
                <w:szCs w:val="18"/>
              </w:rPr>
              <w:t>Judge biological plausibility and real-world feasibility</w:t>
            </w:r>
          </w:p>
        </w:tc>
      </w:tr>
      <w:tr w:rsidR="00932E4A" w14:paraId="0AF1C29F" w14:textId="77777777">
        <w:tc>
          <w:tcPr>
            <w:tcW w:w="4500" w:type="dxa"/>
            <w:shd w:val="clear" w:color="auto" w:fill="F4F8FA"/>
            <w:tcMar>
              <w:top w:w="80" w:type="dxa"/>
              <w:left w:w="100" w:type="dxa"/>
              <w:bottom w:w="80" w:type="dxa"/>
              <w:right w:w="100" w:type="dxa"/>
            </w:tcMar>
          </w:tcPr>
          <w:p w14:paraId="0AF1C29D" w14:textId="77777777" w:rsidR="00932E4A" w:rsidRDefault="000A0FB0">
            <w:r>
              <w:rPr>
                <w:sz w:val="18"/>
                <w:szCs w:val="18"/>
              </w:rPr>
              <w:t>Surfacing publication-count patterns across subtopics</w:t>
            </w:r>
          </w:p>
        </w:tc>
        <w:tc>
          <w:tcPr>
            <w:tcW w:w="4500" w:type="dxa"/>
            <w:shd w:val="clear" w:color="auto" w:fill="F4F8FA"/>
            <w:tcMar>
              <w:top w:w="80" w:type="dxa"/>
              <w:left w:w="100" w:type="dxa"/>
              <w:bottom w:w="80" w:type="dxa"/>
              <w:right w:w="100" w:type="dxa"/>
            </w:tcMar>
          </w:tcPr>
          <w:p w14:paraId="0AF1C29E" w14:textId="77777777" w:rsidR="00932E4A" w:rsidRDefault="000A0FB0">
            <w:r>
              <w:rPr>
                <w:sz w:val="18"/>
                <w:szCs w:val="18"/>
              </w:rPr>
              <w:t>Confirm true novelty against funded grants and trial registries</w:t>
            </w:r>
          </w:p>
        </w:tc>
      </w:tr>
      <w:tr w:rsidR="00932E4A" w14:paraId="0AF1C2A2" w14:textId="77777777">
        <w:tc>
          <w:tcPr>
            <w:tcW w:w="4500" w:type="dxa"/>
            <w:shd w:val="clear" w:color="auto" w:fill="FFFFFF"/>
            <w:tcMar>
              <w:top w:w="80" w:type="dxa"/>
              <w:left w:w="100" w:type="dxa"/>
              <w:bottom w:w="80" w:type="dxa"/>
              <w:right w:w="100" w:type="dxa"/>
            </w:tcMar>
          </w:tcPr>
          <w:p w14:paraId="0AF1C2A0" w14:textId="77777777" w:rsidR="00932E4A" w:rsidRDefault="000A0FB0">
            <w:r>
              <w:rPr>
                <w:sz w:val="18"/>
                <w:szCs w:val="18"/>
              </w:rPr>
              <w:t>Stress-testing wording the way a reviewer might</w:t>
            </w:r>
          </w:p>
        </w:tc>
        <w:tc>
          <w:tcPr>
            <w:tcW w:w="4500" w:type="dxa"/>
            <w:shd w:val="clear" w:color="auto" w:fill="FFFFFF"/>
            <w:tcMar>
              <w:top w:w="80" w:type="dxa"/>
              <w:left w:w="100" w:type="dxa"/>
              <w:bottom w:w="80" w:type="dxa"/>
              <w:right w:w="100" w:type="dxa"/>
            </w:tcMar>
          </w:tcPr>
          <w:p w14:paraId="0AF1C2A1" w14:textId="77777777" w:rsidR="00932E4A" w:rsidRDefault="000A0FB0">
            <w:r>
              <w:rPr>
                <w:sz w:val="18"/>
                <w:szCs w:val="18"/>
              </w:rPr>
              <w:t>Make the final scientific and strategic call</w:t>
            </w:r>
          </w:p>
        </w:tc>
      </w:tr>
    </w:tbl>
    <w:p w14:paraId="0AF1C2A3" w14:textId="77777777" w:rsidR="00932E4A" w:rsidRDefault="00932E4A">
      <w:pPr>
        <w:spacing w:before="160"/>
      </w:pPr>
    </w:p>
    <w:p w14:paraId="0AF1C2A4" w14:textId="77777777" w:rsidR="00932E4A" w:rsidRDefault="000A0FB0">
      <w:pPr>
        <w:pStyle w:val="Heading1"/>
        <w:pBdr>
          <w:bottom w:val="single" w:sz="8" w:space="4" w:color="1F4E5F"/>
        </w:pBdr>
        <w:spacing w:before="360" w:after="160"/>
      </w:pPr>
      <w:r>
        <w:rPr>
          <w:b/>
          <w:bCs/>
          <w:color w:val="1F4E5F"/>
          <w:sz w:val="30"/>
          <w:szCs w:val="30"/>
        </w:rPr>
        <w:t>6. Good Habits &amp; Things to Double-Check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10"/>
      </w:tblGrid>
      <w:tr w:rsidR="00932E4A" w14:paraId="0AF1C2AD" w14:textId="77777777">
        <w:trPr>
          <w:cantSplit/>
        </w:trPr>
        <w:tc>
          <w:tcPr>
            <w:tcW w:w="0" w:type="auto"/>
            <w:tcBorders>
              <w:top w:val="single" w:sz="12" w:space="0" w:color="E8B84B"/>
              <w:left w:val="single" w:sz="12" w:space="0" w:color="E8B84B"/>
              <w:bottom w:val="single" w:sz="12" w:space="0" w:color="E8B84B"/>
              <w:right w:val="single" w:sz="12" w:space="0" w:color="E8B84B"/>
            </w:tcBorders>
            <w:shd w:val="clear" w:color="auto" w:fill="FFF6E5"/>
            <w:tcMar>
              <w:top w:w="140" w:type="dxa"/>
              <w:left w:w="180" w:type="dxa"/>
              <w:bottom w:w="140" w:type="dxa"/>
              <w:right w:w="180" w:type="dxa"/>
            </w:tcMar>
          </w:tcPr>
          <w:p w14:paraId="0AF1C2A5" w14:textId="77777777" w:rsidR="00932E4A" w:rsidRDefault="000A0FB0">
            <w:pPr>
              <w:spacing w:after="80"/>
            </w:pPr>
            <w:r>
              <w:rPr>
                <w:b/>
                <w:bCs/>
                <w:color w:val="8A5A00"/>
                <w:sz w:val="22"/>
                <w:szCs w:val="22"/>
              </w:rPr>
              <w:t>Good habits &amp; things to double-check</w:t>
            </w:r>
          </w:p>
          <w:p w14:paraId="0AF1C2A6" w14:textId="77777777" w:rsidR="00932E4A" w:rsidRDefault="000A0FB0">
            <w:pPr>
              <w:pStyle w:val="ListParagraph"/>
              <w:numPr>
                <w:ilvl w:val="0"/>
                <w:numId w:val="1"/>
              </w:numPr>
              <w:spacing w:after="60"/>
            </w:pPr>
            <w:r>
              <w:t>PubMed's terms require attribution and DOI links whenever its data is shown — Claude keeps these in chat by design; don't strip them out if you re-share the conversation.</w:t>
            </w:r>
          </w:p>
          <w:p w14:paraId="0AF1C2A7" w14:textId="77777777" w:rsidR="00932E4A" w:rsidRDefault="000A0FB0">
            <w:pPr>
              <w:pStyle w:val="ListParagraph"/>
              <w:numPr>
                <w:ilvl w:val="0"/>
                <w:numId w:val="1"/>
              </w:numPr>
              <w:spacing w:after="60"/>
            </w:pPr>
            <w:r>
              <w:t>Journal-abbreviation formatting is a heuristic, not the authoritative CASSI list — verify unusual journal abbreviations before submitting a manuscript.</w:t>
            </w:r>
          </w:p>
          <w:p w14:paraId="0AF1C2A8" w14:textId="77777777" w:rsidR="00932E4A" w:rsidRDefault="000A0FB0">
            <w:pPr>
              <w:pStyle w:val="ListParagraph"/>
              <w:numPr>
                <w:ilvl w:val="0"/>
                <w:numId w:val="1"/>
              </w:numPr>
              <w:spacing w:after="60"/>
            </w:pPr>
            <w:r>
              <w:t>Author cut-off conventions (e.g. “more than 5 authors → et al.”) vary by journal — tell Claude which convention your target journal uses.</w:t>
            </w:r>
          </w:p>
          <w:p w14:paraId="0AF1C2A9" w14:textId="77777777" w:rsidR="00932E4A" w:rsidRDefault="000A0FB0">
            <w:pPr>
              <w:pStyle w:val="ListParagraph"/>
              <w:numPr>
                <w:ilvl w:val="0"/>
                <w:numId w:val="1"/>
              </w:numPr>
              <w:spacing w:after="60"/>
            </w:pPr>
            <w:r>
              <w:t>Publication counts for gap analysis are approximate and depend on exact search phrasing — treat the order of magnitude as the signal, not the exact number.</w:t>
            </w:r>
          </w:p>
          <w:p w14:paraId="0AF1C2AA" w14:textId="77777777" w:rsidR="00932E4A" w:rsidRDefault="000A0FB0">
            <w:pPr>
              <w:pStyle w:val="ListParagraph"/>
              <w:numPr>
                <w:ilvl w:val="0"/>
                <w:numId w:val="1"/>
              </w:numPr>
              <w:spacing w:after="60"/>
            </w:pPr>
            <w:r>
              <w:t>Claude's “importance” ranking of papers is editorial judgment based on contribution and evidence type, not a bibliometric citation count — say so if you rely on it.</w:t>
            </w:r>
          </w:p>
          <w:p w14:paraId="0AF1C2AB" w14:textId="77777777" w:rsidR="00932E4A" w:rsidRDefault="000A0FB0">
            <w:pPr>
              <w:pStyle w:val="ListParagraph"/>
              <w:numPr>
                <w:ilvl w:val="0"/>
                <w:numId w:val="1"/>
              </w:numPr>
              <w:spacing w:after="60"/>
            </w:pPr>
            <w:r>
              <w:t xml:space="preserve">Novelty checks are your job, not Claude's — cross-check any “gap” against grants.gov, NIH </w:t>
            </w:r>
            <w:proofErr w:type="spellStart"/>
            <w:r>
              <w:t>RePORTER</w:t>
            </w:r>
            <w:proofErr w:type="spellEnd"/>
            <w:r>
              <w:t>, or your field's trial registry before building a proposal around it.</w:t>
            </w:r>
          </w:p>
          <w:p w14:paraId="0AF1C2AC" w14:textId="77777777" w:rsidR="00932E4A" w:rsidRDefault="000A0FB0">
            <w:pPr>
              <w:pStyle w:val="ListParagraph"/>
              <w:numPr>
                <w:ilvl w:val="0"/>
                <w:numId w:val="1"/>
              </w:numPr>
              <w:spacing w:after="60"/>
            </w:pPr>
            <w:r>
              <w:t>Treat a Claude-drafted Aim or hypothesis as a starting draft for your own scientific judgment, not a finished proposal — the biological-plausibility call is yours.</w:t>
            </w:r>
          </w:p>
        </w:tc>
      </w:tr>
    </w:tbl>
    <w:p w14:paraId="0AF1C2AE" w14:textId="77777777" w:rsidR="00932E4A" w:rsidRDefault="000A0FB0">
      <w:pPr>
        <w:pStyle w:val="Heading1"/>
        <w:pBdr>
          <w:bottom w:val="single" w:sz="8" w:space="4" w:color="1F4E5F"/>
        </w:pBdr>
        <w:spacing w:before="360" w:after="160"/>
      </w:pPr>
      <w:r>
        <w:rPr>
          <w:b/>
          <w:bCs/>
          <w:color w:val="1F4E5F"/>
          <w:sz w:val="30"/>
          <w:szCs w:val="30"/>
        </w:rPr>
        <w:t>7. Prompt Library: From Search to a Drafted Proposal</w:t>
      </w:r>
    </w:p>
    <w:p w14:paraId="0AF1C2AF" w14:textId="77777777" w:rsidR="00932E4A" w:rsidRDefault="000A0FB0">
      <w:pPr>
        <w:spacing w:after="120"/>
      </w:pPr>
      <w:r>
        <w:rPr>
          <w:sz w:val="22"/>
          <w:szCs w:val="22"/>
        </w:rPr>
        <w:t>Use this as a menu. Copy a line, swap in your own [topic], and adjust the wording to sound like you. Every prompt assumes PubMed is already connected.</w:t>
      </w:r>
    </w:p>
    <w:p w14:paraId="0AF1C2B0" w14:textId="77777777" w:rsidR="00932E4A" w:rsidRDefault="000A0FB0">
      <w:pPr>
        <w:pStyle w:val="Heading2"/>
        <w:spacing w:before="240" w:after="100"/>
      </w:pPr>
      <w:r>
        <w:rPr>
          <w:b/>
          <w:bCs/>
          <w:color w:val="2E86AB"/>
          <w:sz w:val="24"/>
          <w:szCs w:val="24"/>
        </w:rPr>
        <w:t>Search &amp; screen the literature</w:t>
      </w:r>
    </w:p>
    <w:p w14:paraId="0AF1C2B1" w14:textId="77777777" w:rsidR="00932E4A" w:rsidRDefault="000A0FB0">
      <w:pPr>
        <w:pStyle w:val="ListParagraph"/>
        <w:numPr>
          <w:ilvl w:val="0"/>
          <w:numId w:val="3"/>
        </w:numPr>
        <w:spacing w:after="70"/>
      </w:pPr>
      <w:r>
        <w:rPr>
          <w:i/>
          <w:iCs/>
          <w:sz w:val="21"/>
          <w:szCs w:val="21"/>
        </w:rPr>
        <w:t>“Search PubMed for [topic], limited to [study type] published since [year], and screen out anything not directly about [narrow criterion].”</w:t>
      </w:r>
    </w:p>
    <w:p w14:paraId="0AF1C2B2" w14:textId="77777777" w:rsidR="00932E4A" w:rsidRDefault="000A0FB0">
      <w:pPr>
        <w:pStyle w:val="ListParagraph"/>
        <w:numPr>
          <w:ilvl w:val="0"/>
          <w:numId w:val="3"/>
        </w:numPr>
        <w:spacing w:after="70"/>
      </w:pPr>
      <w:r>
        <w:rPr>
          <w:i/>
          <w:iCs/>
          <w:sz w:val="21"/>
          <w:szCs w:val="21"/>
        </w:rPr>
        <w:t>“Give me the highest-impact recent reviews on [topic] so I have background before I read primary papers.”</w:t>
      </w:r>
    </w:p>
    <w:p w14:paraId="0AF1C2B3" w14:textId="77777777" w:rsidR="00932E4A" w:rsidRDefault="000A0FB0">
      <w:pPr>
        <w:pStyle w:val="ListParagraph"/>
        <w:numPr>
          <w:ilvl w:val="0"/>
          <w:numId w:val="3"/>
        </w:numPr>
        <w:spacing w:after="70"/>
      </w:pPr>
      <w:r>
        <w:rPr>
          <w:i/>
          <w:iCs/>
          <w:sz w:val="21"/>
          <w:szCs w:val="21"/>
        </w:rPr>
        <w:t>“Compare how [subtopic A] and [subtopic B] are studied within [field] — which has more clinical-trial coverage?”</w:t>
      </w:r>
    </w:p>
    <w:p w14:paraId="0AF1C2B4" w14:textId="77777777" w:rsidR="00932E4A" w:rsidRDefault="000A0FB0">
      <w:pPr>
        <w:pStyle w:val="ListParagraph"/>
        <w:numPr>
          <w:ilvl w:val="0"/>
          <w:numId w:val="3"/>
        </w:numPr>
        <w:spacing w:after="70"/>
      </w:pPr>
      <w:r>
        <w:rPr>
          <w:i/>
          <w:iCs/>
          <w:sz w:val="21"/>
          <w:szCs w:val="21"/>
        </w:rPr>
        <w:t>“Build me a dedicated literature search strategy and citation module for [topic], formatted in [citation style].”</w:t>
      </w:r>
    </w:p>
    <w:p w14:paraId="0AF1C2B5" w14:textId="77777777" w:rsidR="00932E4A" w:rsidRDefault="000A0FB0">
      <w:pPr>
        <w:pStyle w:val="Heading2"/>
        <w:spacing w:before="240" w:after="100"/>
      </w:pPr>
      <w:r>
        <w:rPr>
          <w:b/>
          <w:bCs/>
          <w:color w:val="2E86AB"/>
          <w:sz w:val="24"/>
          <w:szCs w:val="24"/>
        </w:rPr>
        <w:t>Organize citations</w:t>
      </w:r>
    </w:p>
    <w:p w14:paraId="0AF1C2B6" w14:textId="77777777" w:rsidR="00932E4A" w:rsidRDefault="000A0FB0">
      <w:pPr>
        <w:pStyle w:val="ListParagraph"/>
        <w:numPr>
          <w:ilvl w:val="0"/>
          <w:numId w:val="3"/>
        </w:numPr>
        <w:spacing w:after="70"/>
      </w:pPr>
      <w:r>
        <w:rPr>
          <w:i/>
          <w:iCs/>
          <w:sz w:val="21"/>
          <w:szCs w:val="21"/>
        </w:rPr>
        <w:t xml:space="preserve">“Format these references in [style] and export </w:t>
      </w:r>
      <w:proofErr w:type="spellStart"/>
      <w:r>
        <w:rPr>
          <w:i/>
          <w:iCs/>
          <w:sz w:val="21"/>
          <w:szCs w:val="21"/>
        </w:rPr>
        <w:t>BibTeX</w:t>
      </w:r>
      <w:proofErr w:type="spellEnd"/>
      <w:r>
        <w:rPr>
          <w:i/>
          <w:iCs/>
          <w:sz w:val="21"/>
          <w:szCs w:val="21"/>
        </w:rPr>
        <w:t xml:space="preserve"> so I can import into Zotero or EndNote.”</w:t>
      </w:r>
    </w:p>
    <w:p w14:paraId="0AF1C2B7" w14:textId="77777777" w:rsidR="00932E4A" w:rsidRDefault="000A0FB0">
      <w:pPr>
        <w:pStyle w:val="ListParagraph"/>
        <w:numPr>
          <w:ilvl w:val="0"/>
          <w:numId w:val="3"/>
        </w:numPr>
        <w:spacing w:after="70"/>
      </w:pPr>
      <w:r>
        <w:rPr>
          <w:i/>
          <w:iCs/>
          <w:sz w:val="21"/>
          <w:szCs w:val="21"/>
        </w:rPr>
        <w:t>“Deduplicate this list by DOI/PMID and flag anything retracted or preprint-only.”</w:t>
      </w:r>
    </w:p>
    <w:p w14:paraId="0AF1C2B8" w14:textId="77777777" w:rsidR="00932E4A" w:rsidRDefault="000A0FB0">
      <w:pPr>
        <w:pStyle w:val="Heading2"/>
        <w:spacing w:before="240" w:after="100"/>
      </w:pPr>
      <w:r>
        <w:rPr>
          <w:b/>
          <w:bCs/>
          <w:color w:val="2E86AB"/>
          <w:sz w:val="24"/>
          <w:szCs w:val="24"/>
        </w:rPr>
        <w:lastRenderedPageBreak/>
        <w:t>Find the gaps</w:t>
      </w:r>
    </w:p>
    <w:p w14:paraId="0AF1C2B9" w14:textId="77777777" w:rsidR="00932E4A" w:rsidRDefault="000A0FB0">
      <w:pPr>
        <w:pStyle w:val="ListParagraph"/>
        <w:numPr>
          <w:ilvl w:val="0"/>
          <w:numId w:val="3"/>
        </w:numPr>
        <w:spacing w:after="70"/>
      </w:pPr>
      <w:r>
        <w:rPr>
          <w:i/>
          <w:iCs/>
          <w:sz w:val="21"/>
          <w:szCs w:val="21"/>
        </w:rPr>
        <w:t>“Show approximate PubMed publication counts for [topic] crossed with [subtopic 1 / 2 / 3] — where is it saturated versus sparse?”</w:t>
      </w:r>
    </w:p>
    <w:p w14:paraId="0AF1C2BA" w14:textId="77777777" w:rsidR="00932E4A" w:rsidRDefault="000A0FB0">
      <w:pPr>
        <w:pStyle w:val="ListParagraph"/>
        <w:numPr>
          <w:ilvl w:val="0"/>
          <w:numId w:val="3"/>
        </w:numPr>
        <w:spacing w:after="70"/>
      </w:pPr>
      <w:r>
        <w:rPr>
          <w:i/>
          <w:iCs/>
          <w:sz w:val="21"/>
          <w:szCs w:val="21"/>
        </w:rPr>
        <w:t>“Which of these gaps already has active clinical trials or recent funding? Search for [topic] plus clinical-trial registrations.”</w:t>
      </w:r>
    </w:p>
    <w:p w14:paraId="0AF1C2BB" w14:textId="77777777" w:rsidR="00932E4A" w:rsidRDefault="000A0FB0">
      <w:pPr>
        <w:pStyle w:val="ListParagraph"/>
        <w:numPr>
          <w:ilvl w:val="0"/>
          <w:numId w:val="3"/>
        </w:numPr>
        <w:spacing w:after="70"/>
      </w:pPr>
      <w:r>
        <w:rPr>
          <w:i/>
          <w:iCs/>
          <w:sz w:val="21"/>
          <w:szCs w:val="21"/>
        </w:rPr>
        <w:t>“Compare this field's gaps to [an adjacent field] — is there a technique that's mature there but unused here?”</w:t>
      </w:r>
    </w:p>
    <w:p w14:paraId="0AF1C2BC" w14:textId="77777777" w:rsidR="00932E4A" w:rsidRDefault="000A0FB0">
      <w:pPr>
        <w:pStyle w:val="ListParagraph"/>
        <w:numPr>
          <w:ilvl w:val="0"/>
          <w:numId w:val="3"/>
        </w:numPr>
        <w:spacing w:after="70"/>
      </w:pPr>
      <w:r>
        <w:rPr>
          <w:i/>
          <w:iCs/>
          <w:sz w:val="21"/>
          <w:szCs w:val="21"/>
        </w:rPr>
        <w:t>“Play devil's advocate: give me reasons each “gap” might not really be a gap — maybe it's studied under different terminology.”</w:t>
      </w:r>
    </w:p>
    <w:p w14:paraId="0AF1C2BD" w14:textId="77777777" w:rsidR="00932E4A" w:rsidRDefault="000A0FB0">
      <w:pPr>
        <w:pStyle w:val="ListParagraph"/>
        <w:numPr>
          <w:ilvl w:val="0"/>
          <w:numId w:val="3"/>
        </w:numPr>
        <w:spacing w:after="70"/>
      </w:pPr>
      <w:r>
        <w:rPr>
          <w:i/>
          <w:iCs/>
          <w:sz w:val="21"/>
          <w:szCs w:val="21"/>
        </w:rPr>
        <w:t>“Of these gaps, which is feasible for a small, 2-year project versus which needs a large multi-site study?”</w:t>
      </w:r>
    </w:p>
    <w:p w14:paraId="0AF1C2BE" w14:textId="77777777" w:rsidR="00932E4A" w:rsidRDefault="000A0FB0">
      <w:pPr>
        <w:pStyle w:val="Heading2"/>
        <w:spacing w:before="240" w:after="100"/>
      </w:pPr>
      <w:r>
        <w:rPr>
          <w:b/>
          <w:bCs/>
          <w:color w:val="2E86AB"/>
          <w:sz w:val="24"/>
          <w:szCs w:val="24"/>
        </w:rPr>
        <w:t>Draft significance and background</w:t>
      </w:r>
    </w:p>
    <w:p w14:paraId="0AF1C2BF" w14:textId="77777777" w:rsidR="00932E4A" w:rsidRDefault="000A0FB0">
      <w:pPr>
        <w:pStyle w:val="ListParagraph"/>
        <w:numPr>
          <w:ilvl w:val="0"/>
          <w:numId w:val="3"/>
        </w:numPr>
        <w:spacing w:after="70"/>
      </w:pPr>
      <w:r>
        <w:rPr>
          <w:i/>
          <w:iCs/>
          <w:sz w:val="21"/>
          <w:szCs w:val="21"/>
        </w:rPr>
        <w:t>“Using the gap on [X], draft a two-paragraph Significance section explaining why closing it matters clinically and scientifically.”</w:t>
      </w:r>
    </w:p>
    <w:p w14:paraId="0AF1C2C0" w14:textId="77777777" w:rsidR="00932E4A" w:rsidRDefault="000A0FB0">
      <w:pPr>
        <w:pStyle w:val="ListParagraph"/>
        <w:numPr>
          <w:ilvl w:val="0"/>
          <w:numId w:val="3"/>
        </w:numPr>
        <w:spacing w:after="70"/>
      </w:pPr>
      <w:r>
        <w:rPr>
          <w:i/>
          <w:iCs/>
          <w:sz w:val="21"/>
          <w:szCs w:val="21"/>
        </w:rPr>
        <w:t>“Write a background paragraph that sets up [gap] as the logical next step from these papers: [list].”</w:t>
      </w:r>
    </w:p>
    <w:p w14:paraId="0AF1C2C1" w14:textId="77777777" w:rsidR="00932E4A" w:rsidRDefault="000A0FB0">
      <w:pPr>
        <w:pStyle w:val="Heading2"/>
        <w:spacing w:before="240" w:after="100"/>
      </w:pPr>
      <w:r>
        <w:rPr>
          <w:b/>
          <w:bCs/>
          <w:color w:val="2E86AB"/>
          <w:sz w:val="24"/>
          <w:szCs w:val="24"/>
        </w:rPr>
        <w:t>Draft Specific Aims and a hypothesis</w:t>
      </w:r>
    </w:p>
    <w:p w14:paraId="0AF1C2C2" w14:textId="77777777" w:rsidR="00932E4A" w:rsidRDefault="000A0FB0">
      <w:pPr>
        <w:pStyle w:val="ListParagraph"/>
        <w:numPr>
          <w:ilvl w:val="0"/>
          <w:numId w:val="3"/>
        </w:numPr>
        <w:spacing w:after="70"/>
      </w:pPr>
      <w:r>
        <w:rPr>
          <w:i/>
          <w:iCs/>
          <w:sz w:val="21"/>
          <w:szCs w:val="21"/>
        </w:rPr>
        <w:t>“Turn the gap on [X] into 2–3 Specific Aims, each with a testable hypothesis and a one-line approach.”</w:t>
      </w:r>
    </w:p>
    <w:p w14:paraId="0AF1C2C3" w14:textId="77777777" w:rsidR="00932E4A" w:rsidRDefault="000A0FB0">
      <w:pPr>
        <w:pStyle w:val="ListParagraph"/>
        <w:numPr>
          <w:ilvl w:val="0"/>
          <w:numId w:val="3"/>
        </w:numPr>
        <w:spacing w:after="70"/>
      </w:pPr>
      <w:r>
        <w:rPr>
          <w:i/>
          <w:iCs/>
          <w:sz w:val="21"/>
          <w:szCs w:val="21"/>
        </w:rPr>
        <w:t>“Give me three alternative hypotheses for [gap], ranked by novelty versus feasibility.”</w:t>
      </w:r>
    </w:p>
    <w:p w14:paraId="0AF1C2C4" w14:textId="77777777" w:rsidR="00932E4A" w:rsidRDefault="000A0FB0">
      <w:pPr>
        <w:pStyle w:val="ListParagraph"/>
        <w:numPr>
          <w:ilvl w:val="0"/>
          <w:numId w:val="3"/>
        </w:numPr>
        <w:spacing w:after="70"/>
      </w:pPr>
      <w:r>
        <w:rPr>
          <w:i/>
          <w:iCs/>
          <w:sz w:val="21"/>
          <w:szCs w:val="21"/>
        </w:rPr>
        <w:t>“Stress-test this Specific Aim like a study-section reviewer — where would they attack feasibility, novelty, or rigor?”</w:t>
      </w:r>
    </w:p>
    <w:p w14:paraId="0AF1C2C5" w14:textId="77777777" w:rsidR="00932E4A" w:rsidRDefault="000A0FB0">
      <w:pPr>
        <w:pStyle w:val="Heading2"/>
        <w:spacing w:before="240" w:after="100"/>
      </w:pPr>
      <w:r>
        <w:rPr>
          <w:b/>
          <w:bCs/>
          <w:color w:val="2E86AB"/>
          <w:sz w:val="24"/>
          <w:szCs w:val="24"/>
        </w:rPr>
        <w:t>Draft the approach and refine toward a funding mechanism</w:t>
      </w:r>
    </w:p>
    <w:p w14:paraId="0AF1C2C6" w14:textId="77777777" w:rsidR="00932E4A" w:rsidRDefault="000A0FB0">
      <w:pPr>
        <w:pStyle w:val="ListParagraph"/>
        <w:numPr>
          <w:ilvl w:val="0"/>
          <w:numId w:val="3"/>
        </w:numPr>
        <w:spacing w:after="70"/>
      </w:pPr>
      <w:r>
        <w:rPr>
          <w:i/>
          <w:iCs/>
          <w:sz w:val="21"/>
          <w:szCs w:val="21"/>
        </w:rPr>
        <w:t>“Draft a Preliminary Approach paragraph for Aim 1 using [technique], and flag what preliminary data I'd need to justify it.”</w:t>
      </w:r>
    </w:p>
    <w:p w14:paraId="0AF1C2C7" w14:textId="77777777" w:rsidR="00932E4A" w:rsidRDefault="000A0FB0">
      <w:pPr>
        <w:pStyle w:val="ListParagraph"/>
        <w:numPr>
          <w:ilvl w:val="0"/>
          <w:numId w:val="3"/>
        </w:numPr>
        <w:spacing w:after="70"/>
      </w:pPr>
      <w:r>
        <w:rPr>
          <w:i/>
          <w:iCs/>
          <w:sz w:val="21"/>
          <w:szCs w:val="21"/>
        </w:rPr>
        <w:t>“What controls or alternative analyses would a rigorous reviewer expect for [proposed method]?”</w:t>
      </w:r>
    </w:p>
    <w:p w14:paraId="0AF1C2C8" w14:textId="77777777" w:rsidR="00932E4A" w:rsidRDefault="000A0FB0">
      <w:pPr>
        <w:pStyle w:val="ListParagraph"/>
        <w:numPr>
          <w:ilvl w:val="0"/>
          <w:numId w:val="3"/>
        </w:numPr>
        <w:spacing w:after="70"/>
      </w:pPr>
      <w:r>
        <w:rPr>
          <w:i/>
          <w:iCs/>
          <w:sz w:val="21"/>
          <w:szCs w:val="21"/>
        </w:rPr>
        <w:t>“Rewrite this aim to fit an exploratory, 2-year mechanism with no preliminary data required, instead of a full-scale proposal.”</w:t>
      </w:r>
    </w:p>
    <w:p w14:paraId="0AF1C2C9" w14:textId="77777777" w:rsidR="00932E4A" w:rsidRDefault="000A0FB0">
      <w:pPr>
        <w:pStyle w:val="ListParagraph"/>
        <w:numPr>
          <w:ilvl w:val="0"/>
          <w:numId w:val="3"/>
        </w:numPr>
        <w:spacing w:after="70"/>
      </w:pPr>
      <w:r>
        <w:rPr>
          <w:i/>
          <w:iCs/>
          <w:sz w:val="21"/>
          <w:szCs w:val="21"/>
        </w:rPr>
        <w:t>“Search the web for recently funded grants on [topic] so I can check whether this aim overlaps with existing awards.”</w:t>
      </w:r>
    </w:p>
    <w:p w14:paraId="0AF1C2CA" w14:textId="77777777" w:rsidR="00932E4A" w:rsidRDefault="000A0FB0">
      <w:pPr>
        <w:pStyle w:val="ListParagraph"/>
        <w:numPr>
          <w:ilvl w:val="0"/>
          <w:numId w:val="3"/>
        </w:numPr>
        <w:spacing w:after="70"/>
      </w:pPr>
      <w:r>
        <w:rPr>
          <w:i/>
          <w:iCs/>
          <w:sz w:val="21"/>
          <w:szCs w:val="21"/>
        </w:rPr>
        <w:t>“Give me a one-paragraph “elevator pitch” version of this proposal for a cover letter.”</w:t>
      </w:r>
    </w:p>
    <w:p w14:paraId="0AF1C2CB" w14:textId="77777777" w:rsidR="00932E4A" w:rsidRDefault="000A0FB0">
      <w:pPr>
        <w:pBdr>
          <w:top w:val="single" w:sz="4" w:space="6" w:color="CCCCCC"/>
        </w:pBdr>
        <w:spacing w:before="300"/>
      </w:pPr>
      <w:r>
        <w:rPr>
          <w:i/>
          <w:iCs/>
          <w:color w:val="888888"/>
          <w:sz w:val="18"/>
          <w:szCs w:val="18"/>
        </w:rPr>
        <w:t>Handout prepared for the AI Beginner Workshop — Biomedical Research track.</w:t>
      </w:r>
    </w:p>
    <w:sectPr w:rsidR="00932E4A">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1750D"/>
    <w:multiLevelType w:val="hybridMultilevel"/>
    <w:tmpl w:val="86247C4A"/>
    <w:lvl w:ilvl="0" w:tplc="A2E26070">
      <w:start w:val="1"/>
      <w:numFmt w:val="bullet"/>
      <w:lvlText w:val="–"/>
      <w:lvlJc w:val="left"/>
      <w:pPr>
        <w:ind w:left="360" w:hanging="360"/>
      </w:pPr>
    </w:lvl>
    <w:lvl w:ilvl="1" w:tplc="037E3176">
      <w:numFmt w:val="decimal"/>
      <w:lvlText w:val=""/>
      <w:lvlJc w:val="left"/>
    </w:lvl>
    <w:lvl w:ilvl="2" w:tplc="C1963D5E">
      <w:numFmt w:val="decimal"/>
      <w:lvlText w:val=""/>
      <w:lvlJc w:val="left"/>
    </w:lvl>
    <w:lvl w:ilvl="3" w:tplc="C5B2B5FA">
      <w:numFmt w:val="decimal"/>
      <w:lvlText w:val=""/>
      <w:lvlJc w:val="left"/>
    </w:lvl>
    <w:lvl w:ilvl="4" w:tplc="E4CAD600">
      <w:numFmt w:val="decimal"/>
      <w:lvlText w:val=""/>
      <w:lvlJc w:val="left"/>
    </w:lvl>
    <w:lvl w:ilvl="5" w:tplc="593817C8">
      <w:numFmt w:val="decimal"/>
      <w:lvlText w:val=""/>
      <w:lvlJc w:val="left"/>
    </w:lvl>
    <w:lvl w:ilvl="6" w:tplc="BB7E616A">
      <w:numFmt w:val="decimal"/>
      <w:lvlText w:val=""/>
      <w:lvlJc w:val="left"/>
    </w:lvl>
    <w:lvl w:ilvl="7" w:tplc="7D1C176E">
      <w:numFmt w:val="decimal"/>
      <w:lvlText w:val=""/>
      <w:lvlJc w:val="left"/>
    </w:lvl>
    <w:lvl w:ilvl="8" w:tplc="48B22458">
      <w:numFmt w:val="decimal"/>
      <w:lvlText w:val=""/>
      <w:lvlJc w:val="left"/>
    </w:lvl>
  </w:abstractNum>
  <w:abstractNum w:abstractNumId="1" w15:restartNumberingAfterBreak="0">
    <w:nsid w:val="549404FC"/>
    <w:multiLevelType w:val="hybridMultilevel"/>
    <w:tmpl w:val="AF68DF1A"/>
    <w:lvl w:ilvl="0" w:tplc="864EFD6C">
      <w:start w:val="1"/>
      <w:numFmt w:val="bullet"/>
      <w:lvlText w:val="•"/>
      <w:lvlJc w:val="left"/>
      <w:pPr>
        <w:ind w:left="360" w:hanging="360"/>
      </w:pPr>
    </w:lvl>
    <w:lvl w:ilvl="1" w:tplc="C5D2C5A0">
      <w:numFmt w:val="decimal"/>
      <w:lvlText w:val=""/>
      <w:lvlJc w:val="left"/>
    </w:lvl>
    <w:lvl w:ilvl="2" w:tplc="3BA69CFC">
      <w:numFmt w:val="decimal"/>
      <w:lvlText w:val=""/>
      <w:lvlJc w:val="left"/>
    </w:lvl>
    <w:lvl w:ilvl="3" w:tplc="E7AE99D8">
      <w:numFmt w:val="decimal"/>
      <w:lvlText w:val=""/>
      <w:lvlJc w:val="left"/>
    </w:lvl>
    <w:lvl w:ilvl="4" w:tplc="7D4C37FE">
      <w:numFmt w:val="decimal"/>
      <w:lvlText w:val=""/>
      <w:lvlJc w:val="left"/>
    </w:lvl>
    <w:lvl w:ilvl="5" w:tplc="61C8A30C">
      <w:numFmt w:val="decimal"/>
      <w:lvlText w:val=""/>
      <w:lvlJc w:val="left"/>
    </w:lvl>
    <w:lvl w:ilvl="6" w:tplc="94C86ACA">
      <w:numFmt w:val="decimal"/>
      <w:lvlText w:val=""/>
      <w:lvlJc w:val="left"/>
    </w:lvl>
    <w:lvl w:ilvl="7" w:tplc="37483474">
      <w:numFmt w:val="decimal"/>
      <w:lvlText w:val=""/>
      <w:lvlJc w:val="left"/>
    </w:lvl>
    <w:lvl w:ilvl="8" w:tplc="D572F6E2">
      <w:numFmt w:val="decimal"/>
      <w:lvlText w:val=""/>
      <w:lvlJc w:val="left"/>
    </w:lvl>
  </w:abstractNum>
  <w:abstractNum w:abstractNumId="2" w15:restartNumberingAfterBreak="0">
    <w:nsid w:val="77B11003"/>
    <w:multiLevelType w:val="hybridMultilevel"/>
    <w:tmpl w:val="461878B8"/>
    <w:lvl w:ilvl="0" w:tplc="C7E06630">
      <w:start w:val="1"/>
      <w:numFmt w:val="bullet"/>
      <w:lvlText w:val="●"/>
      <w:lvlJc w:val="left"/>
      <w:pPr>
        <w:ind w:left="720" w:hanging="360"/>
      </w:pPr>
    </w:lvl>
    <w:lvl w:ilvl="1" w:tplc="DE5CEF8C">
      <w:start w:val="1"/>
      <w:numFmt w:val="bullet"/>
      <w:lvlText w:val="○"/>
      <w:lvlJc w:val="left"/>
      <w:pPr>
        <w:ind w:left="1440" w:hanging="360"/>
      </w:pPr>
    </w:lvl>
    <w:lvl w:ilvl="2" w:tplc="820813E4">
      <w:start w:val="1"/>
      <w:numFmt w:val="bullet"/>
      <w:lvlText w:val="■"/>
      <w:lvlJc w:val="left"/>
      <w:pPr>
        <w:ind w:left="2160" w:hanging="360"/>
      </w:pPr>
    </w:lvl>
    <w:lvl w:ilvl="3" w:tplc="7CA8BD68">
      <w:start w:val="1"/>
      <w:numFmt w:val="bullet"/>
      <w:lvlText w:val="●"/>
      <w:lvlJc w:val="left"/>
      <w:pPr>
        <w:ind w:left="2880" w:hanging="360"/>
      </w:pPr>
    </w:lvl>
    <w:lvl w:ilvl="4" w:tplc="D398EFE4">
      <w:start w:val="1"/>
      <w:numFmt w:val="bullet"/>
      <w:lvlText w:val="○"/>
      <w:lvlJc w:val="left"/>
      <w:pPr>
        <w:ind w:left="3600" w:hanging="360"/>
      </w:pPr>
    </w:lvl>
    <w:lvl w:ilvl="5" w:tplc="AA9243DE">
      <w:start w:val="1"/>
      <w:numFmt w:val="bullet"/>
      <w:lvlText w:val="■"/>
      <w:lvlJc w:val="left"/>
      <w:pPr>
        <w:ind w:left="4320" w:hanging="360"/>
      </w:pPr>
    </w:lvl>
    <w:lvl w:ilvl="6" w:tplc="14B262F8">
      <w:start w:val="1"/>
      <w:numFmt w:val="bullet"/>
      <w:lvlText w:val="●"/>
      <w:lvlJc w:val="left"/>
      <w:pPr>
        <w:ind w:left="5040" w:hanging="360"/>
      </w:pPr>
    </w:lvl>
    <w:lvl w:ilvl="7" w:tplc="6032E4B0">
      <w:start w:val="1"/>
      <w:numFmt w:val="bullet"/>
      <w:lvlText w:val="●"/>
      <w:lvlJc w:val="left"/>
      <w:pPr>
        <w:ind w:left="5760" w:hanging="360"/>
      </w:pPr>
    </w:lvl>
    <w:lvl w:ilvl="8" w:tplc="BD2E2B20">
      <w:start w:val="1"/>
      <w:numFmt w:val="bullet"/>
      <w:lvlText w:val="●"/>
      <w:lvlJc w:val="left"/>
      <w:pPr>
        <w:ind w:left="6480" w:hanging="360"/>
      </w:pPr>
    </w:lvl>
  </w:abstractNum>
  <w:num w:numId="1" w16cid:durableId="1665741672">
    <w:abstractNumId w:val="0"/>
    <w:lvlOverride w:ilvl="0">
      <w:startOverride w:val="1"/>
    </w:lvlOverride>
  </w:num>
  <w:num w:numId="2" w16cid:durableId="258293477">
    <w:abstractNumId w:val="2"/>
    <w:lvlOverride w:ilvl="0">
      <w:startOverride w:val="1"/>
    </w:lvlOverride>
  </w:num>
  <w:num w:numId="3" w16cid:durableId="750660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E4A"/>
    <w:rsid w:val="000A0FB0"/>
    <w:rsid w:val="001150DD"/>
    <w:rsid w:val="00173DAC"/>
    <w:rsid w:val="001E1E45"/>
    <w:rsid w:val="00205436"/>
    <w:rsid w:val="002E2FDF"/>
    <w:rsid w:val="003163BD"/>
    <w:rsid w:val="00325EE5"/>
    <w:rsid w:val="00385652"/>
    <w:rsid w:val="004719C5"/>
    <w:rsid w:val="00577268"/>
    <w:rsid w:val="006D40AC"/>
    <w:rsid w:val="0089101C"/>
    <w:rsid w:val="008B4D55"/>
    <w:rsid w:val="00932E4A"/>
    <w:rsid w:val="00A446E1"/>
    <w:rsid w:val="00AF1932"/>
    <w:rsid w:val="00B21C94"/>
    <w:rsid w:val="00BD2352"/>
    <w:rsid w:val="00E55B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1C229"/>
  <w15:docId w15:val="{FB97D59F-9A9D-42F9-A1FF-DB7EE3A6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7DBFD8D96FAB4AA6E7427968E150B0" ma:contentTypeVersion="9" ma:contentTypeDescription="Create a new document." ma:contentTypeScope="" ma:versionID="61846eed6e1cdced065339b861ac6335">
  <xsd:schema xmlns:xsd="http://www.w3.org/2001/XMLSchema" xmlns:xs="http://www.w3.org/2001/XMLSchema" xmlns:p="http://schemas.microsoft.com/office/2006/metadata/properties" xmlns:ns3="f5d90dd5-3835-4730-b85f-530af4b9219c" targetNamespace="http://schemas.microsoft.com/office/2006/metadata/properties" ma:root="true" ma:fieldsID="5b09b045ef896883c77a230baa75b8db" ns3:_="">
    <xsd:import namespace="f5d90dd5-3835-4730-b85f-530af4b9219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90dd5-3835-4730-b85f-530af4b921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5d90dd5-3835-4730-b85f-530af4b9219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71DFE8-65C6-4393-AA4C-ECC922D37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90dd5-3835-4730-b85f-530af4b921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68736-4E3D-4888-9836-C0CCEFFE2236}">
  <ds:schemaRefs>
    <ds:schemaRef ds:uri="http://schemas.microsoft.com/office/2006/metadata/properties"/>
    <ds:schemaRef ds:uri="http://schemas.microsoft.com/office/infopath/2007/PartnerControls"/>
    <ds:schemaRef ds:uri="f5d90dd5-3835-4730-b85f-530af4b9219c"/>
  </ds:schemaRefs>
</ds:datastoreItem>
</file>

<file path=customXml/itemProps3.xml><?xml version="1.0" encoding="utf-8"?>
<ds:datastoreItem xmlns:ds="http://schemas.openxmlformats.org/officeDocument/2006/customXml" ds:itemID="{881A6647-464F-4CC1-A550-0B564B5D06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1547</Words>
  <Characters>8821</Characters>
  <Application>Microsoft Office Word</Application>
  <DocSecurity>0</DocSecurity>
  <Lines>73</Lines>
  <Paragraphs>20</Paragraphs>
  <ScaleCrop>false</ScaleCrop>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Aarthi Ravikrishnan</cp:lastModifiedBy>
  <cp:revision>13</cp:revision>
  <dcterms:created xsi:type="dcterms:W3CDTF">2026-09-29T06:21:00Z</dcterms:created>
  <dcterms:modified xsi:type="dcterms:W3CDTF">2026-10-13T08:09:00Z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93e86d83-3417-4a17-87c9-8d96f3167860</vt:lpwstr>
  </property>
  <property fmtid="{D5CDD505-2E9C-101B-9397-08002B2CF9AE}" pid="3" name="ContentTypeId">
    <vt:lpwstr>0x010100E57DBFD8D96FAB4AA6E7427968E150B0</vt:lpwstr>
  </property>
</Properties>
</file>