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5B8A" w14:textId="047E7A51" w:rsidR="00E7094D" w:rsidRPr="00733BAF" w:rsidRDefault="00000000">
      <w:pPr>
        <w:spacing w:after="300"/>
        <w:rPr>
          <w:color w:val="C00000"/>
          <w:sz w:val="22"/>
          <w:szCs w:val="22"/>
        </w:rPr>
      </w:pPr>
      <w:r>
        <w:rPr>
          <w:rFonts w:ascii="Calibri" w:eastAsia="Calibri" w:hAnsi="Calibri" w:cs="Calibri"/>
          <w:b/>
          <w:bCs/>
          <w:color w:val="2E75B6"/>
          <w:sz w:val="32"/>
          <w:szCs w:val="32"/>
        </w:rPr>
        <w:t>Hospital Admissions, Billing &amp; Location Analysis</w:t>
      </w:r>
      <w:r w:rsidR="00733BAF">
        <w:rPr>
          <w:rFonts w:ascii="Calibri" w:eastAsia="Calibri" w:hAnsi="Calibri" w:cs="Calibri"/>
          <w:b/>
          <w:bCs/>
          <w:color w:val="2E75B6"/>
          <w:sz w:val="32"/>
          <w:szCs w:val="32"/>
        </w:rPr>
        <w:t xml:space="preserve">         </w:t>
      </w:r>
      <w:r w:rsidR="00733BAF">
        <w:rPr>
          <w:rFonts w:ascii="Calibri" w:eastAsia="Calibri" w:hAnsi="Calibri" w:cs="Calibri"/>
          <w:b/>
          <w:bCs/>
          <w:color w:val="2E75B6"/>
          <w:sz w:val="32"/>
          <w:szCs w:val="32"/>
        </w:rPr>
        <w:tab/>
      </w:r>
      <w:r w:rsidR="00733BAF">
        <w:rPr>
          <w:rFonts w:ascii="Calibri" w:eastAsia="Calibri" w:hAnsi="Calibri" w:cs="Calibri"/>
          <w:b/>
          <w:bCs/>
          <w:color w:val="2E75B6"/>
          <w:sz w:val="32"/>
          <w:szCs w:val="32"/>
        </w:rPr>
        <w:tab/>
      </w:r>
      <w:r w:rsidR="00733BAF">
        <w:rPr>
          <w:rFonts w:ascii="Calibri" w:eastAsia="Calibri" w:hAnsi="Calibri" w:cs="Calibri"/>
          <w:b/>
          <w:bCs/>
          <w:color w:val="2E75B6"/>
          <w:sz w:val="32"/>
          <w:szCs w:val="32"/>
        </w:rPr>
        <w:tab/>
      </w:r>
      <w:r w:rsidR="00733BAF">
        <w:rPr>
          <w:rFonts w:ascii="Calibri" w:eastAsia="Calibri" w:hAnsi="Calibri" w:cs="Calibri"/>
          <w:b/>
          <w:bCs/>
          <w:color w:val="2E75B6"/>
          <w:sz w:val="32"/>
          <w:szCs w:val="32"/>
        </w:rPr>
        <w:tab/>
      </w:r>
      <w:r w:rsidR="00733BAF">
        <w:rPr>
          <w:rFonts w:ascii="Calibri" w:eastAsia="Calibri" w:hAnsi="Calibri" w:cs="Calibri"/>
          <w:b/>
          <w:bCs/>
          <w:color w:val="2E75B6"/>
          <w:sz w:val="32"/>
          <w:szCs w:val="32"/>
        </w:rPr>
        <w:tab/>
      </w:r>
      <w:r w:rsidR="00733BAF">
        <w:rPr>
          <w:rFonts w:ascii="Calibri" w:eastAsia="Calibri" w:hAnsi="Calibri" w:cs="Calibri"/>
          <w:b/>
          <w:bCs/>
          <w:sz w:val="28"/>
          <w:szCs w:val="28"/>
        </w:rPr>
        <w:tab/>
      </w:r>
      <w:r w:rsidR="00733BAF">
        <w:rPr>
          <w:rFonts w:ascii="Calibri" w:eastAsia="Calibri" w:hAnsi="Calibri" w:cs="Calibri"/>
          <w:b/>
          <w:bCs/>
          <w:sz w:val="28"/>
          <w:szCs w:val="28"/>
        </w:rPr>
        <w:tab/>
      </w:r>
      <w:r w:rsidR="00733BAF">
        <w:rPr>
          <w:rFonts w:ascii="Calibri" w:eastAsia="Calibri" w:hAnsi="Calibri" w:cs="Calibri"/>
          <w:b/>
          <w:bCs/>
          <w:sz w:val="28"/>
          <w:szCs w:val="28"/>
        </w:rPr>
        <w:tab/>
      </w:r>
      <w:r w:rsidR="00733BAF">
        <w:rPr>
          <w:rFonts w:ascii="Calibri" w:eastAsia="Calibri" w:hAnsi="Calibri" w:cs="Calibri"/>
          <w:b/>
          <w:bCs/>
          <w:sz w:val="28"/>
          <w:szCs w:val="28"/>
        </w:rPr>
        <w:tab/>
      </w:r>
      <w:r w:rsidR="00733BAF">
        <w:rPr>
          <w:rFonts w:ascii="Calibri" w:eastAsia="Calibri" w:hAnsi="Calibri" w:cs="Calibri"/>
          <w:b/>
          <w:bCs/>
          <w:sz w:val="28"/>
          <w:szCs w:val="28"/>
        </w:rPr>
        <w:tab/>
      </w:r>
    </w:p>
    <w:p w14:paraId="7C17A19C" w14:textId="77777777" w:rsidR="00E7094D" w:rsidRDefault="00000000">
      <w:pPr>
        <w:spacing w:after="120"/>
      </w:pPr>
      <w:r>
        <w:rPr>
          <w:rFonts w:ascii="Calibri" w:eastAsia="Calibri" w:hAnsi="Calibri" w:cs="Calibri"/>
          <w:b/>
          <w:bCs/>
          <w:sz w:val="24"/>
          <w:szCs w:val="24"/>
        </w:rPr>
        <w:t>Problem Statement:</w:t>
      </w:r>
    </w:p>
    <w:p w14:paraId="319FCDC4" w14:textId="77777777" w:rsidR="00E7094D" w:rsidRDefault="00000000">
      <w:pPr>
        <w:spacing w:after="240"/>
        <w:jc w:val="both"/>
      </w:pPr>
      <w:r>
        <w:rPr>
          <w:rFonts w:ascii="Calibri" w:eastAsia="Calibri" w:hAnsi="Calibri" w:cs="Calibri"/>
          <w:sz w:val="22"/>
          <w:szCs w:val="22"/>
        </w:rPr>
        <w:t xml:space="preserve">The objective of this project is to clean, transform, and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a fictional hospital-style admissions, billing, and location dataset for major Indian cities using Excel and Power BI. The project focuses on improving data quality, building relationships between hospital, patient, department, and location data, and creating an interactive dashboard to generate meaningful healthcare business insights.</w:t>
      </w:r>
    </w:p>
    <w:p w14:paraId="5AA5A7DA" w14:textId="77777777" w:rsidR="00E7094D" w:rsidRDefault="00000000">
      <w:pPr>
        <w:spacing w:after="120"/>
      </w:pPr>
      <w:r>
        <w:rPr>
          <w:rFonts w:ascii="Calibri" w:eastAsia="Calibri" w:hAnsi="Calibri" w:cs="Calibri"/>
          <w:b/>
          <w:bCs/>
          <w:sz w:val="24"/>
          <w:szCs w:val="24"/>
        </w:rPr>
        <w:t>Analysis:</w:t>
      </w:r>
    </w:p>
    <w:p w14:paraId="20253342" w14:textId="77777777" w:rsidR="00E7094D" w:rsidRDefault="00000000">
      <w:pPr>
        <w:spacing w:after="160"/>
      </w:pPr>
      <w:r>
        <w:rPr>
          <w:rFonts w:ascii="Calibri" w:eastAsia="Calibri" w:hAnsi="Calibri" w:cs="Calibri"/>
          <w:sz w:val="22"/>
          <w:szCs w:val="22"/>
        </w:rPr>
        <w:t>The analysis aims to answer key business questions related to</w:t>
      </w:r>
    </w:p>
    <w:p w14:paraId="4E2C3561" w14:textId="77777777" w:rsidR="00E7094D" w:rsidRDefault="00000000">
      <w:pPr>
        <w:pStyle w:val="ListParagraph"/>
        <w:numPr>
          <w:ilvl w:val="0"/>
          <w:numId w:val="2"/>
        </w:numPr>
        <w:spacing w:after="100"/>
      </w:pPr>
      <w:r>
        <w:rPr>
          <w:rFonts w:ascii="Calibri" w:eastAsia="Calibri" w:hAnsi="Calibri" w:cs="Calibri"/>
          <w:sz w:val="22"/>
          <w:szCs w:val="22"/>
        </w:rPr>
        <w:t>Hospital performance and admission volumes</w:t>
      </w:r>
    </w:p>
    <w:p w14:paraId="1108B23E" w14:textId="77777777" w:rsidR="00E7094D" w:rsidRDefault="00000000">
      <w:pPr>
        <w:pStyle w:val="ListParagraph"/>
        <w:numPr>
          <w:ilvl w:val="0"/>
          <w:numId w:val="2"/>
        </w:numPr>
        <w:spacing w:after="100"/>
      </w:pPr>
      <w:r>
        <w:rPr>
          <w:rFonts w:ascii="Calibri" w:eastAsia="Calibri" w:hAnsi="Calibri" w:cs="Calibri"/>
          <w:sz w:val="22"/>
          <w:szCs w:val="22"/>
        </w:rPr>
        <w:t>Monthly and yearly admission trends</w:t>
      </w:r>
    </w:p>
    <w:p w14:paraId="15AAAC7F" w14:textId="77777777" w:rsidR="00E7094D" w:rsidRDefault="00000000">
      <w:pPr>
        <w:pStyle w:val="ListParagraph"/>
        <w:numPr>
          <w:ilvl w:val="0"/>
          <w:numId w:val="2"/>
        </w:numPr>
        <w:spacing w:after="100"/>
      </w:pPr>
      <w:r>
        <w:rPr>
          <w:rFonts w:ascii="Calibri" w:eastAsia="Calibri" w:hAnsi="Calibri" w:cs="Calibri"/>
          <w:sz w:val="22"/>
          <w:szCs w:val="22"/>
        </w:rPr>
        <w:t>Top-performing hospitals by revenue and patient count</w:t>
      </w:r>
    </w:p>
    <w:p w14:paraId="4FA851E9" w14:textId="77777777" w:rsidR="00E7094D" w:rsidRDefault="00000000">
      <w:pPr>
        <w:pStyle w:val="ListParagraph"/>
        <w:numPr>
          <w:ilvl w:val="0"/>
          <w:numId w:val="2"/>
        </w:numPr>
        <w:spacing w:after="100"/>
      </w:pPr>
      <w:r>
        <w:rPr>
          <w:rFonts w:ascii="Calibri" w:eastAsia="Calibri" w:hAnsi="Calibri" w:cs="Calibri"/>
          <w:sz w:val="22"/>
          <w:szCs w:val="22"/>
        </w:rPr>
        <w:t>City-wise and department-wise billing performance</w:t>
      </w:r>
    </w:p>
    <w:p w14:paraId="075B4651" w14:textId="77777777" w:rsidR="00E7094D" w:rsidRDefault="00000000">
      <w:pPr>
        <w:pStyle w:val="ListParagraph"/>
        <w:numPr>
          <w:ilvl w:val="0"/>
          <w:numId w:val="2"/>
        </w:numPr>
        <w:spacing w:after="100"/>
      </w:pPr>
      <w:r>
        <w:rPr>
          <w:rFonts w:ascii="Calibri" w:eastAsia="Calibri" w:hAnsi="Calibri" w:cs="Calibri"/>
          <w:sz w:val="22"/>
          <w:szCs w:val="22"/>
        </w:rPr>
        <w:t>Disease and diagnosis patterns across departments</w:t>
      </w:r>
    </w:p>
    <w:p w14:paraId="53A54FC4" w14:textId="77777777" w:rsidR="00E7094D" w:rsidRDefault="00000000">
      <w:pPr>
        <w:pStyle w:val="ListParagraph"/>
        <w:numPr>
          <w:ilvl w:val="0"/>
          <w:numId w:val="2"/>
        </w:numPr>
        <w:spacing w:after="100"/>
      </w:pPr>
      <w:r>
        <w:rPr>
          <w:rFonts w:ascii="Calibri" w:eastAsia="Calibri" w:hAnsi="Calibri" w:cs="Calibri"/>
          <w:sz w:val="22"/>
          <w:szCs w:val="22"/>
        </w:rPr>
        <w:t>Payment method and insurance discount trends</w:t>
      </w:r>
    </w:p>
    <w:p w14:paraId="07F1F0D7" w14:textId="77777777" w:rsidR="00E7094D" w:rsidRDefault="00000000">
      <w:pPr>
        <w:pStyle w:val="ListParagraph"/>
        <w:numPr>
          <w:ilvl w:val="0"/>
          <w:numId w:val="2"/>
        </w:numPr>
        <w:spacing w:after="100"/>
      </w:pPr>
      <w:r>
        <w:rPr>
          <w:rFonts w:ascii="Calibri" w:eastAsia="Calibri" w:hAnsi="Calibri" w:cs="Calibri"/>
          <w:sz w:val="22"/>
          <w:szCs w:val="22"/>
        </w:rPr>
        <w:t>Average bill amount and ward-class (General vs ICU) cost comparison</w:t>
      </w:r>
    </w:p>
    <w:p w14:paraId="67B12B64" w14:textId="77777777" w:rsidR="00E7094D" w:rsidRDefault="00000000">
      <w:pPr>
        <w:pStyle w:val="ListParagraph"/>
        <w:numPr>
          <w:ilvl w:val="0"/>
          <w:numId w:val="2"/>
        </w:numPr>
        <w:spacing w:after="100"/>
      </w:pPr>
      <w:r>
        <w:rPr>
          <w:rFonts w:ascii="Calibri" w:eastAsia="Calibri" w:hAnsi="Calibri" w:cs="Calibri"/>
          <w:sz w:val="22"/>
          <w:szCs w:val="22"/>
        </w:rPr>
        <w:t>Length of stay and its impact on billing</w:t>
      </w:r>
    </w:p>
    <w:p w14:paraId="12DA7984" w14:textId="77777777" w:rsidR="00E7094D" w:rsidRDefault="00000000">
      <w:pPr>
        <w:pStyle w:val="ListParagraph"/>
        <w:numPr>
          <w:ilvl w:val="0"/>
          <w:numId w:val="2"/>
        </w:numPr>
        <w:spacing w:after="100"/>
      </w:pPr>
      <w:r>
        <w:rPr>
          <w:rFonts w:ascii="Calibri" w:eastAsia="Calibri" w:hAnsi="Calibri" w:cs="Calibri"/>
          <w:sz w:val="22"/>
          <w:szCs w:val="22"/>
        </w:rPr>
        <w:t>Hospital and patient distribution across locations</w:t>
      </w:r>
    </w:p>
    <w:p w14:paraId="62747CCA" w14:textId="77777777" w:rsidR="00E7094D" w:rsidRDefault="00E7094D">
      <w:pPr>
        <w:spacing w:after="200"/>
      </w:pPr>
    </w:p>
    <w:p w14:paraId="29E4484C" w14:textId="77777777" w:rsidR="00E7094D" w:rsidRDefault="00000000">
      <w:pPr>
        <w:jc w:val="both"/>
      </w:pPr>
      <w:r>
        <w:rPr>
          <w:rFonts w:ascii="Calibri" w:eastAsia="Calibri" w:hAnsi="Calibri" w:cs="Calibri"/>
          <w:sz w:val="22"/>
          <w:szCs w:val="22"/>
        </w:rPr>
        <w:t>The final solution will provide an interactive Power BI dashboard with KPIs, DAX measures, and visualizations to help stakeholders understand hospital performance and identify opportunities for improving patient care, billing efficiency, and overall revenue.</w:t>
      </w:r>
    </w:p>
    <w:sectPr w:rsidR="00E7094D">
      <w:pgSz w:w="12240" w:h="15840"/>
      <w:pgMar w:top="1440" w:right="1440" w:bottom="1440" w:left="1440" w:header="708" w:footer="708"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E28"/>
    <w:multiLevelType w:val="hybridMultilevel"/>
    <w:tmpl w:val="56AEAD6E"/>
    <w:lvl w:ilvl="0" w:tplc="E2324C94">
      <w:start w:val="1"/>
      <w:numFmt w:val="bullet"/>
      <w:lvlText w:val="●"/>
      <w:lvlJc w:val="left"/>
      <w:pPr>
        <w:ind w:left="720" w:hanging="360"/>
      </w:pPr>
    </w:lvl>
    <w:lvl w:ilvl="1" w:tplc="4C3E5FF0">
      <w:start w:val="1"/>
      <w:numFmt w:val="bullet"/>
      <w:lvlText w:val="○"/>
      <w:lvlJc w:val="left"/>
      <w:pPr>
        <w:ind w:left="1440" w:hanging="360"/>
      </w:pPr>
    </w:lvl>
    <w:lvl w:ilvl="2" w:tplc="EB3ACB5E">
      <w:start w:val="1"/>
      <w:numFmt w:val="bullet"/>
      <w:lvlText w:val="■"/>
      <w:lvlJc w:val="left"/>
      <w:pPr>
        <w:ind w:left="2160" w:hanging="360"/>
      </w:pPr>
    </w:lvl>
    <w:lvl w:ilvl="3" w:tplc="7B167C1C">
      <w:start w:val="1"/>
      <w:numFmt w:val="bullet"/>
      <w:lvlText w:val="●"/>
      <w:lvlJc w:val="left"/>
      <w:pPr>
        <w:ind w:left="2880" w:hanging="360"/>
      </w:pPr>
    </w:lvl>
    <w:lvl w:ilvl="4" w:tplc="B1D262AA">
      <w:start w:val="1"/>
      <w:numFmt w:val="bullet"/>
      <w:lvlText w:val="○"/>
      <w:lvlJc w:val="left"/>
      <w:pPr>
        <w:ind w:left="3600" w:hanging="360"/>
      </w:pPr>
    </w:lvl>
    <w:lvl w:ilvl="5" w:tplc="A1F60934">
      <w:start w:val="1"/>
      <w:numFmt w:val="bullet"/>
      <w:lvlText w:val="■"/>
      <w:lvlJc w:val="left"/>
      <w:pPr>
        <w:ind w:left="4320" w:hanging="360"/>
      </w:pPr>
    </w:lvl>
    <w:lvl w:ilvl="6" w:tplc="870439F2">
      <w:start w:val="1"/>
      <w:numFmt w:val="bullet"/>
      <w:lvlText w:val="●"/>
      <w:lvlJc w:val="left"/>
      <w:pPr>
        <w:ind w:left="5040" w:hanging="360"/>
      </w:pPr>
    </w:lvl>
    <w:lvl w:ilvl="7" w:tplc="6928BB9A">
      <w:start w:val="1"/>
      <w:numFmt w:val="bullet"/>
      <w:lvlText w:val="●"/>
      <w:lvlJc w:val="left"/>
      <w:pPr>
        <w:ind w:left="5760" w:hanging="360"/>
      </w:pPr>
    </w:lvl>
    <w:lvl w:ilvl="8" w:tplc="89BC6F9E">
      <w:start w:val="1"/>
      <w:numFmt w:val="bullet"/>
      <w:lvlText w:val="●"/>
      <w:lvlJc w:val="left"/>
      <w:pPr>
        <w:ind w:left="6480" w:hanging="360"/>
      </w:pPr>
    </w:lvl>
  </w:abstractNum>
  <w:abstractNum w:abstractNumId="1" w15:restartNumberingAfterBreak="0">
    <w:nsid w:val="6013751C"/>
    <w:multiLevelType w:val="hybridMultilevel"/>
    <w:tmpl w:val="1C0434B2"/>
    <w:lvl w:ilvl="0" w:tplc="E75C3364">
      <w:start w:val="1"/>
      <w:numFmt w:val="bullet"/>
      <w:lvlText w:val="•"/>
      <w:lvlJc w:val="left"/>
      <w:pPr>
        <w:ind w:left="720" w:hanging="360"/>
      </w:pPr>
    </w:lvl>
    <w:lvl w:ilvl="1" w:tplc="F2AA1D9A">
      <w:numFmt w:val="decimal"/>
      <w:lvlText w:val=""/>
      <w:lvlJc w:val="left"/>
    </w:lvl>
    <w:lvl w:ilvl="2" w:tplc="E6CCCFC2">
      <w:numFmt w:val="decimal"/>
      <w:lvlText w:val=""/>
      <w:lvlJc w:val="left"/>
    </w:lvl>
    <w:lvl w:ilvl="3" w:tplc="F36E6CAE">
      <w:numFmt w:val="decimal"/>
      <w:lvlText w:val=""/>
      <w:lvlJc w:val="left"/>
    </w:lvl>
    <w:lvl w:ilvl="4" w:tplc="D3642468">
      <w:numFmt w:val="decimal"/>
      <w:lvlText w:val=""/>
      <w:lvlJc w:val="left"/>
    </w:lvl>
    <w:lvl w:ilvl="5" w:tplc="F91E8D32">
      <w:numFmt w:val="decimal"/>
      <w:lvlText w:val=""/>
      <w:lvlJc w:val="left"/>
    </w:lvl>
    <w:lvl w:ilvl="6" w:tplc="46C0B782">
      <w:numFmt w:val="decimal"/>
      <w:lvlText w:val=""/>
      <w:lvlJc w:val="left"/>
    </w:lvl>
    <w:lvl w:ilvl="7" w:tplc="6AE42AD0">
      <w:numFmt w:val="decimal"/>
      <w:lvlText w:val=""/>
      <w:lvlJc w:val="left"/>
    </w:lvl>
    <w:lvl w:ilvl="8" w:tplc="C820E5EC">
      <w:numFmt w:val="decimal"/>
      <w:lvlText w:val=""/>
      <w:lvlJc w:val="left"/>
    </w:lvl>
  </w:abstractNum>
  <w:num w:numId="1" w16cid:durableId="1779908834">
    <w:abstractNumId w:val="0"/>
    <w:lvlOverride w:ilvl="0">
      <w:startOverride w:val="1"/>
    </w:lvlOverride>
  </w:num>
  <w:num w:numId="2" w16cid:durableId="3251324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4D"/>
    <w:rsid w:val="00733BAF"/>
    <w:rsid w:val="00B81D88"/>
    <w:rsid w:val="00E70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F268"/>
  <w15:docId w15:val="{CC5B5534-27CB-49FF-805F-927C0D11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parthibanm2929@gmail.com</cp:lastModifiedBy>
  <cp:revision>2</cp:revision>
  <dcterms:created xsi:type="dcterms:W3CDTF">2026-08-24T20:00:00Z</dcterms:created>
  <dcterms:modified xsi:type="dcterms:W3CDTF">2026-08-24T20:08:00Z</dcterms:modified>
</cp:coreProperties>
</file>