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Arial" w:cs="Arial" w:eastAsia="Arial" w:hAnsi="Arial"/>
          <w:b/>
          <w:bCs/>
          <w:color w:val="4F46E5"/>
          <w:sz w:val="72"/>
          <w:szCs w:val="72"/>
        </w:rPr>
        <w:t xml:space="preserve">TelcoFlow AI</w:t>
      </w:r>
    </w:p>
    <w:p>
      <w:pPr>
        <w:spacing w:after="80" w:before="0"/>
        <w:jc w:val="center"/>
      </w:pPr>
      <w:r>
        <w:rPr>
          <w:rFonts w:ascii="Arial" w:cs="Arial" w:eastAsia="Arial" w:hAnsi="Arial"/>
          <w:color w:val="0F5B4B"/>
          <w:sz w:val="40"/>
          <w:szCs w:val="40"/>
        </w:rPr>
        <w:t xml:space="preserve">End User Manual</w:t>
      </w:r>
    </w:p>
    <w:p>
      <w:pPr>
        <w:spacing w:after="80" w:before="0"/>
        <w:jc w:val="center"/>
      </w:pPr>
      <w:r>
        <w:rPr>
          <w:rFonts w:ascii="Arial" w:cs="Arial" w:eastAsia="Arial" w:hAnsi="Arial"/>
          <w:i/>
          <w:iCs/>
          <w:color w:val="1E293B"/>
          <w:sz w:val="26"/>
          <w:szCs w:val="26"/>
        </w:rPr>
        <w:t xml:space="preserve">Screen Guide &amp; Help Reference</w:t>
      </w:r>
    </w:p>
    <w:p>
      <w:pPr>
        <w:spacing w:after="60" w:before="60"/>
      </w:pPr>
      <w:r>
        <w:t xml:space="preserve"/>
      </w:r>
    </w:p>
    <w:p>
      <w:pPr>
        <w:spacing w:after="60" w:before="60"/>
      </w:pPr>
      <w:r>
        <w:t xml:space="preserve"/>
      </w:r>
    </w:p>
    <w:p>
      <w:pPr>
        <w:pBdr>
          <w:top w:val="single" w:color="CBD5E1" w:sz="1" w:space="1"/>
        </w:pBdr>
        <w:spacing w:after="40" w:before="0"/>
        <w:jc w:val="center"/>
      </w:pPr>
      <w:r>
        <w:t xml:space="preserve"/>
      </w:r>
    </w:p>
    <w:p>
      <w:pPr>
        <w:spacing w:after="40" w:before="80"/>
        <w:jc w:val="center"/>
      </w:pPr>
      <w:r>
        <w:rPr>
          <w:rFonts w:ascii="Arial" w:cs="Arial" w:eastAsia="Arial" w:hAnsi="Arial"/>
          <w:color w:val="64748B"/>
          <w:sz w:val="22"/>
          <w:szCs w:val="22"/>
        </w:rPr>
        <w:t xml:space="preserve">Document Type: End User Manual</w:t>
      </w:r>
    </w:p>
    <w:p>
      <w:pPr>
        <w:spacing w:after="40" w:before="40"/>
        <w:jc w:val="center"/>
      </w:pPr>
      <w:r>
        <w:rPr>
          <w:rFonts w:ascii="Arial" w:cs="Arial" w:eastAsia="Arial" w:hAnsi="Arial"/>
          <w:color w:val="64748B"/>
          <w:sz w:val="22"/>
          <w:szCs w:val="22"/>
        </w:rPr>
        <w:t xml:space="preserve">Audience: All TelcoFlow AI users across all roles</w:t>
      </w:r>
    </w:p>
    <w:p>
      <w:pPr>
        <w:spacing w:after="40" w:before="40"/>
        <w:jc w:val="center"/>
      </w:pPr>
      <w:r>
        <w:rPr>
          <w:rFonts w:ascii="Arial" w:cs="Arial" w:eastAsia="Arial" w:hAnsi="Arial"/>
          <w:color w:val="64748B"/>
          <w:sz w:val="22"/>
          <w:szCs w:val="22"/>
        </w:rPr>
        <w:t xml:space="preserve">Version: 1.0  |  Platform: Web Browser</w:t>
      </w:r>
    </w:p>
    <w:p>
      <w:r>
        <w:br w:type="page"/>
      </w:r>
    </w:p>
    <w:p>
      <w:pPr>
        <w:pStyle w:val="Heading1"/>
        <w:pBdr>
          <w:bottom w:val="single" w:color="4F46E5" w:sz="6" w:space="1"/>
        </w:pBdr>
        <w:spacing w:after="160" w:before="360"/>
      </w:pPr>
      <w:r>
        <w:rPr>
          <w:rFonts w:ascii="Arial" w:cs="Arial" w:eastAsia="Arial" w:hAnsi="Arial"/>
          <w:b/>
          <w:bCs/>
          <w:color w:val="4F46E5"/>
          <w:sz w:val="32"/>
          <w:szCs w:val="32"/>
        </w:rPr>
        <w:t xml:space="preserve">1. Introduction</w:t>
      </w:r>
    </w:p>
    <w:p>
      <w:pPr>
        <w:spacing w:after="80" w:before="60"/>
      </w:pPr>
      <w:r>
        <w:rPr>
          <w:rFonts w:ascii="Arial" w:cs="Arial" w:eastAsia="Arial" w:hAnsi="Arial"/>
          <w:color w:val="1E293B"/>
          <w:sz w:val="22"/>
          <w:szCs w:val="22"/>
        </w:rPr>
        <w:t xml:space="preserve">TelcoFlow AI is a web-based application for managing operational deviations in Telecom and Media operations. It replaces manual approval emails with a structured, AI-guided, role-enforced workflow that produces a full compliance audit trail.</w:t>
      </w:r>
    </w:p>
    <w:p>
      <w:pPr>
        <w:spacing w:after="60" w:before="60"/>
      </w:pPr>
      <w:r>
        <w:t xml:space="preserve"/>
      </w:r>
    </w:p>
    <w:p>
      <w:pPr>
        <w:spacing w:after="80" w:before="60"/>
      </w:pPr>
      <w:r>
        <w:rPr>
          <w:rFonts w:ascii="Arial" w:cs="Arial" w:eastAsia="Arial" w:hAnsi="Arial"/>
          <w:color w:val="1E293B"/>
          <w:sz w:val="22"/>
          <w:szCs w:val="22"/>
        </w:rPr>
        <w:t xml:space="preserve">This manual covers every screen in the application, explains what each element does, and provides step-by-step guidance for all common tasks.</w:t>
      </w:r>
    </w:p>
    <w:p>
      <w:pPr>
        <w:spacing w:after="60" w:before="60"/>
      </w:pPr>
      <w:r>
        <w:t xml:space="preserve"/>
      </w:r>
    </w:p>
    <w:tbl>
      <w:tblPr>
        <w:tblW w:type="dxa" w:w="9360"/>
        <w:tblBorders>
          <w:top w:val="single" w:color="0F5B4B" w:sz="4"/>
          <w:left w:val="single" w:color="0F5B4B" w:sz="4"/>
          <w:bottom w:val="single" w:color="0F5B4B" w:sz="1"/>
          <w:right w:val="single" w:color="0F5B4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DF4" w:val="clear"/>
            <w:tcMar>
              <w:top w:type="dxa" w:w="60"/>
              <w:left w:type="dxa" w:w="160"/>
              <w:bottom w:type="dxa" w:w="60"/>
              <w:right w:type="dxa" w:w="160"/>
            </w:tcMar>
          </w:tcPr>
          <w:p>
            <w:pPr>
              <w:spacing w:after="20" w:before="20"/>
            </w:pPr>
            <w:r>
              <w:rPr>
                <w:rFonts w:ascii="Arial" w:cs="Arial" w:eastAsia="Arial" w:hAnsi="Arial"/>
                <w:color w:val="1E293B"/>
                <w:sz w:val="20"/>
                <w:szCs w:val="20"/>
              </w:rPr>
              <w:t xml:space="preserve">  ACCESS: Access the application by opening http://localhost:5173 in your web browser. No installation is required.</w:t>
            </w:r>
          </w:p>
        </w:tc>
      </w:tr>
    </w:tbl>
    <w:p>
      <w:pPr>
        <w:spacing w:after="60" w:before="60"/>
      </w:pPr>
      <w:r>
        <w:t xml:space="preserve"/>
      </w:r>
    </w:p>
    <w:p>
      <w:pPr>
        <w:pStyle w:val="Heading2"/>
        <w:spacing w:after="120" w:before="280"/>
      </w:pPr>
      <w:r>
        <w:rPr>
          <w:rFonts w:ascii="Arial" w:cs="Arial" w:eastAsia="Arial" w:hAnsi="Arial"/>
          <w:b/>
          <w:bCs/>
          <w:color w:val="0F5B4B"/>
          <w:sz w:val="26"/>
          <w:szCs w:val="26"/>
        </w:rPr>
        <w:t xml:space="preserve">1.1 What is an Operational Deviation?</w:t>
      </w:r>
    </w:p>
    <w:p>
      <w:pPr>
        <w:spacing w:after="80" w:before="60"/>
      </w:pPr>
      <w:r>
        <w:rPr>
          <w:rFonts w:ascii="Arial" w:cs="Arial" w:eastAsia="Arial" w:hAnsi="Arial"/>
          <w:color w:val="1E293B"/>
          <w:sz w:val="22"/>
          <w:szCs w:val="22"/>
        </w:rPr>
        <w:t xml:space="preserve">An operational deviation is a formal request to temporarily operate outside standard policy limits. Examples include:</w:t>
      </w:r>
    </w:p>
    <w:p>
      <w:pPr>
        <w:pStyle w:val="ListParagraph"/>
        <w:numPr>
          <w:ilvl w:val="0"/>
          <w:numId w:val="2"/>
        </w:numPr>
        <w:spacing w:after="40" w:before="40"/>
      </w:pPr>
      <w:r>
        <w:rPr>
          <w:rFonts w:ascii="Arial" w:cs="Arial" w:eastAsia="Arial" w:hAnsi="Arial"/>
          <w:color w:val="1E293B"/>
          <w:sz w:val="22"/>
          <w:szCs w:val="22"/>
        </w:rPr>
        <w:t xml:space="preserve">Billing Credit Override — issuing a customer credit above the standard authority limit</w:t>
      </w:r>
    </w:p>
    <w:p>
      <w:pPr>
        <w:pStyle w:val="ListParagraph"/>
        <w:numPr>
          <w:ilvl w:val="0"/>
          <w:numId w:val="2"/>
        </w:numPr>
        <w:spacing w:after="40" w:before="40"/>
      </w:pPr>
      <w:r>
        <w:rPr>
          <w:rFonts w:ascii="Arial" w:cs="Arial" w:eastAsia="Arial" w:hAnsi="Arial"/>
          <w:color w:val="1E293B"/>
          <w:sz w:val="22"/>
          <w:szCs w:val="22"/>
        </w:rPr>
        <w:t xml:space="preserve">Bandwidth Increase — temporarily allowing a customer to use more bandwidth than contracted</w:t>
      </w:r>
    </w:p>
    <w:p>
      <w:pPr>
        <w:pStyle w:val="ListParagraph"/>
        <w:numPr>
          <w:ilvl w:val="0"/>
          <w:numId w:val="2"/>
        </w:numPr>
        <w:spacing w:after="40" w:before="40"/>
      </w:pPr>
      <w:r>
        <w:rPr>
          <w:rFonts w:ascii="Arial" w:cs="Arial" w:eastAsia="Arial" w:hAnsi="Arial"/>
          <w:color w:val="1E293B"/>
          <w:sz w:val="22"/>
          <w:szCs w:val="22"/>
        </w:rPr>
        <w:t xml:space="preserve">SLA Waiver — granting a customer relief from SLA penalty clauses during a defined period</w:t>
      </w:r>
    </w:p>
    <w:p>
      <w:pPr>
        <w:pStyle w:val="ListParagraph"/>
        <w:numPr>
          <w:ilvl w:val="0"/>
          <w:numId w:val="2"/>
        </w:numPr>
        <w:spacing w:after="40" w:before="40"/>
      </w:pPr>
      <w:r>
        <w:rPr>
          <w:rFonts w:ascii="Arial" w:cs="Arial" w:eastAsia="Arial" w:hAnsi="Arial"/>
          <w:color w:val="1E293B"/>
          <w:sz w:val="22"/>
          <w:szCs w:val="22"/>
        </w:rPr>
        <w:t xml:space="preserve">Content Access Exception — allowing access to content outside the customer's licensed region</w:t>
      </w:r>
    </w:p>
    <w:p>
      <w:pPr>
        <w:pStyle w:val="ListParagraph"/>
        <w:numPr>
          <w:ilvl w:val="0"/>
          <w:numId w:val="2"/>
        </w:numPr>
        <w:spacing w:after="40" w:before="40"/>
      </w:pPr>
      <w:r>
        <w:rPr>
          <w:rFonts w:ascii="Arial" w:cs="Arial" w:eastAsia="Arial" w:hAnsi="Arial"/>
          <w:color w:val="1E293B"/>
          <w:sz w:val="22"/>
          <w:szCs w:val="22"/>
        </w:rPr>
        <w:t xml:space="preserve">KYC Deferral — temporarily postponing Know Your Customer document verification</w:t>
      </w:r>
    </w:p>
    <w:p>
      <w:pPr>
        <w:spacing w:after="60" w:before="60"/>
      </w:pPr>
      <w:r>
        <w:t xml:space="preserve"/>
      </w:r>
    </w:p>
    <w:p>
      <w:pPr>
        <w:pStyle w:val="Heading2"/>
        <w:spacing w:after="120" w:before="280"/>
      </w:pPr>
      <w:r>
        <w:rPr>
          <w:rFonts w:ascii="Arial" w:cs="Arial" w:eastAsia="Arial" w:hAnsi="Arial"/>
          <w:b/>
          <w:bCs/>
          <w:color w:val="0F5B4B"/>
          <w:sz w:val="26"/>
          <w:szCs w:val="26"/>
        </w:rPr>
        <w:t xml:space="preserve">1.2 User Roles</w:t>
      </w:r>
    </w:p>
    <w:p>
      <w:pPr>
        <w:spacing w:after="80" w:before="60"/>
      </w:pPr>
      <w:r>
        <w:rPr>
          <w:rFonts w:ascii="Arial" w:cs="Arial" w:eastAsia="Arial" w:hAnsi="Arial"/>
          <w:color w:val="1E293B"/>
          <w:sz w:val="22"/>
          <w:szCs w:val="22"/>
        </w:rPr>
        <w:t xml:space="preserve">Every user in TelcoFlow AI has one of six roles. Your role determines which screens you can access and which approval steps you can act on.</w:t>
      </w:r>
    </w:p>
    <w:p>
      <w:pPr>
        <w:spacing w:after="60" w:before="60"/>
      </w:pPr>
      <w:r>
        <w:t xml:space="preserve"/>
      </w:r>
    </w:p>
    <w:tbl>
      <w:tblPr>
        <w:tblW w:type="dxa" w:w="9360"/>
        <w:tblBorders>
          <w:top w:val="single" w:color="4F46E5" w:sz="4"/>
          <w:left w:val="single" w:color="4F46E5" w:sz="4"/>
          <w:bottom w:val="single" w:color="CBD5E1" w:sz="1"/>
          <w:right w:val="single" w:color="CBD5E1"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2FF" w:val="clear"/>
            <w:tcMar>
              <w:top w:type="dxa" w:w="80"/>
              <w:left w:type="dxa" w:w="160"/>
              <w:bottom w:type="dxa" w:w="4"/>
              <w:right w:type="dxa" w:w="160"/>
            </w:tcMar>
          </w:tcPr>
          <w:p>
            <w:r>
              <w:rPr>
                <w:rFonts w:ascii="Arial" w:cs="Arial" w:eastAsia="Arial" w:hAnsi="Arial"/>
                <w:b/>
                <w:bCs/>
                <w:color w:val="4F46E5"/>
                <w:sz w:val="24"/>
                <w:szCs w:val="24"/>
              </w:rPr>
              <w:t xml:space="preserve">Operations Manager</w:t>
            </w:r>
            <w:r>
              <w:rPr>
                <w:rFonts w:ascii="Arial" w:cs="Arial" w:eastAsia="Arial" w:hAnsi="Arial"/>
                <w:color w:val="64748B"/>
                <w:sz w:val="20"/>
                <w:szCs w:val="20"/>
              </w:rPr>
              <w:t xml:space="preserve">  |  All screens except Admin</w:t>
            </w:r>
          </w:p>
        </w:tc>
      </w:tr>
      <w:tr>
        <w:tc>
          <w:tcPr>
            <w:tcW w:type="dxa" w:w="9360"/>
            <w:tcBorders>
              <w:top w:val="none" w:color="FFFFFF" w:sz="0"/>
              <w:left w:val="none" w:color="FFFFFF" w:sz="0"/>
              <w:bottom w:val="none" w:color="FFFFFF" w:sz="0"/>
              <w:right w:val="none" w:color="FFFFFF" w:sz="0"/>
            </w:tcBorders>
            <w:shd w:fill="FFFFFF" w:val="clear"/>
            <w:tcMar>
              <w:top w:type="dxa" w:w="60"/>
              <w:left w:type="dxa" w:w="160"/>
              <w:bottom w:type="dxa" w:w="80"/>
              <w:right w:type="dxa" w:w="160"/>
            </w:tcMar>
          </w:tcPr>
          <w:p>
            <w:r>
              <w:rPr>
                <w:rFonts w:ascii="Arial" w:cs="Arial" w:eastAsia="Arial" w:hAnsi="Arial"/>
                <w:color w:val="1E293B"/>
                <w:sz w:val="20"/>
                <w:szCs w:val="20"/>
              </w:rPr>
              <w:t xml:space="preserve">Creates deviation requests, submits them for approval, and approves the Operations step in the approval chain. Primary initiator of the workflow.</w:t>
            </w:r>
          </w:p>
        </w:tc>
      </w:tr>
    </w:tbl>
    <w:p>
      <w:pPr>
        <w:spacing w:after="60" w:before="60"/>
      </w:pPr>
      <w:r>
        <w:t xml:space="preserve"/>
      </w:r>
    </w:p>
    <w:tbl>
      <w:tblPr>
        <w:tblW w:type="dxa" w:w="9360"/>
        <w:tblBorders>
          <w:top w:val="single" w:color="0F5B4B" w:sz="4"/>
          <w:left w:val="single" w:color="0F5B4B" w:sz="4"/>
          <w:bottom w:val="single" w:color="CBD5E1" w:sz="1"/>
          <w:right w:val="single" w:color="CBD5E1"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CFBF1" w:val="clear"/>
            <w:tcMar>
              <w:top w:type="dxa" w:w="80"/>
              <w:left w:type="dxa" w:w="160"/>
              <w:bottom w:type="dxa" w:w="4"/>
              <w:right w:type="dxa" w:w="160"/>
            </w:tcMar>
          </w:tcPr>
          <w:p>
            <w:r>
              <w:rPr>
                <w:rFonts w:ascii="Arial" w:cs="Arial" w:eastAsia="Arial" w:hAnsi="Arial"/>
                <w:b/>
                <w:bCs/>
                <w:color w:val="0F5B4B"/>
                <w:sz w:val="24"/>
                <w:szCs w:val="24"/>
              </w:rPr>
              <w:t xml:space="preserve">Finance Team</w:t>
            </w:r>
            <w:r>
              <w:rPr>
                <w:rFonts w:ascii="Arial" w:cs="Arial" w:eastAsia="Arial" w:hAnsi="Arial"/>
                <w:color w:val="64748B"/>
                <w:sz w:val="20"/>
                <w:szCs w:val="20"/>
              </w:rPr>
              <w:t xml:space="preserve">  |  Dashboard, Review &amp; Approval, Execution &amp; Audit</w:t>
            </w:r>
          </w:p>
        </w:tc>
      </w:tr>
      <w:tr>
        <w:tc>
          <w:tcPr>
            <w:tcW w:type="dxa" w:w="9360"/>
            <w:tcBorders>
              <w:top w:val="none" w:color="FFFFFF" w:sz="0"/>
              <w:left w:val="none" w:color="FFFFFF" w:sz="0"/>
              <w:bottom w:val="none" w:color="FFFFFF" w:sz="0"/>
              <w:right w:val="none" w:color="FFFFFF" w:sz="0"/>
            </w:tcBorders>
            <w:shd w:fill="FFFFFF" w:val="clear"/>
            <w:tcMar>
              <w:top w:type="dxa" w:w="60"/>
              <w:left w:type="dxa" w:w="160"/>
              <w:bottom w:type="dxa" w:w="80"/>
              <w:right w:type="dxa" w:w="160"/>
            </w:tcMar>
          </w:tcPr>
          <w:p>
            <w:r>
              <w:rPr>
                <w:rFonts w:ascii="Arial" w:cs="Arial" w:eastAsia="Arial" w:hAnsi="Arial"/>
                <w:color w:val="1E293B"/>
                <w:sz w:val="20"/>
                <w:szCs w:val="20"/>
              </w:rPr>
              <w:t xml:space="preserve">Reviews and approves the Finance step. Responsible for validating that credit amounts are within policy thresholds.</w:t>
            </w:r>
          </w:p>
        </w:tc>
      </w:tr>
    </w:tbl>
    <w:p>
      <w:pPr>
        <w:spacing w:after="60" w:before="60"/>
      </w:pPr>
      <w:r>
        <w:t xml:space="preserve"/>
      </w:r>
    </w:p>
    <w:tbl>
      <w:tblPr>
        <w:tblW w:type="dxa" w:w="9360"/>
        <w:tblBorders>
          <w:top w:val="single" w:color="0F5B4B" w:sz="4"/>
          <w:left w:val="single" w:color="0F5B4B" w:sz="4"/>
          <w:bottom w:val="single" w:color="CBD5E1" w:sz="1"/>
          <w:right w:val="single" w:color="CBD5E1"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CFBF1" w:val="clear"/>
            <w:tcMar>
              <w:top w:type="dxa" w:w="80"/>
              <w:left w:type="dxa" w:w="160"/>
              <w:bottom w:type="dxa" w:w="4"/>
              <w:right w:type="dxa" w:w="160"/>
            </w:tcMar>
          </w:tcPr>
          <w:p>
            <w:r>
              <w:rPr>
                <w:rFonts w:ascii="Arial" w:cs="Arial" w:eastAsia="Arial" w:hAnsi="Arial"/>
                <w:b/>
                <w:bCs/>
                <w:color w:val="0F5B4B"/>
                <w:sz w:val="24"/>
                <w:szCs w:val="24"/>
              </w:rPr>
              <w:t xml:space="preserve">Network Engineer</w:t>
            </w:r>
            <w:r>
              <w:rPr>
                <w:rFonts w:ascii="Arial" w:cs="Arial" w:eastAsia="Arial" w:hAnsi="Arial"/>
                <w:color w:val="64748B"/>
                <w:sz w:val="20"/>
                <w:szCs w:val="20"/>
              </w:rPr>
              <w:t xml:space="preserve">  |  Dashboard, Review &amp; Approval, Execution &amp; Audit</w:t>
            </w:r>
          </w:p>
        </w:tc>
      </w:tr>
      <w:tr>
        <w:tc>
          <w:tcPr>
            <w:tcW w:type="dxa" w:w="9360"/>
            <w:tcBorders>
              <w:top w:val="none" w:color="FFFFFF" w:sz="0"/>
              <w:left w:val="none" w:color="FFFFFF" w:sz="0"/>
              <w:bottom w:val="none" w:color="FFFFFF" w:sz="0"/>
              <w:right w:val="none" w:color="FFFFFF" w:sz="0"/>
            </w:tcBorders>
            <w:shd w:fill="FFFFFF" w:val="clear"/>
            <w:tcMar>
              <w:top w:type="dxa" w:w="60"/>
              <w:left w:type="dxa" w:w="160"/>
              <w:bottom w:type="dxa" w:w="80"/>
              <w:right w:type="dxa" w:w="160"/>
            </w:tcMar>
          </w:tcPr>
          <w:p>
            <w:r>
              <w:rPr>
                <w:rFonts w:ascii="Arial" w:cs="Arial" w:eastAsia="Arial" w:hAnsi="Arial"/>
                <w:color w:val="1E293B"/>
                <w:sz w:val="20"/>
                <w:szCs w:val="20"/>
              </w:rPr>
              <w:t xml:space="preserve">Reviews and approves the Network step. Validates technical aspects such as bandwidth requests and SLA impacts.</w:t>
            </w:r>
          </w:p>
        </w:tc>
      </w:tr>
    </w:tbl>
    <w:p>
      <w:pPr>
        <w:spacing w:after="60" w:before="60"/>
      </w:pPr>
      <w:r>
        <w:t xml:space="preserve"/>
      </w:r>
    </w:p>
    <w:tbl>
      <w:tblPr>
        <w:tblW w:type="dxa" w:w="9360"/>
        <w:tblBorders>
          <w:top w:val="single" w:color="B91C1C" w:sz="4"/>
          <w:left w:val="single" w:color="B91C1C" w:sz="4"/>
          <w:bottom w:val="single" w:color="CBD5E1" w:sz="1"/>
          <w:right w:val="single" w:color="CBD5E1"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4E0" w:val="clear"/>
            <w:tcMar>
              <w:top w:type="dxa" w:w="80"/>
              <w:left w:type="dxa" w:w="160"/>
              <w:bottom w:type="dxa" w:w="4"/>
              <w:right w:type="dxa" w:w="160"/>
            </w:tcMar>
          </w:tcPr>
          <w:p>
            <w:r>
              <w:rPr>
                <w:rFonts w:ascii="Arial" w:cs="Arial" w:eastAsia="Arial" w:hAnsi="Arial"/>
                <w:b/>
                <w:bCs/>
                <w:color w:val="B91C1C"/>
                <w:sz w:val="24"/>
                <w:szCs w:val="24"/>
              </w:rPr>
              <w:t xml:space="preserve">Compliance Officer</w:t>
            </w:r>
            <w:r>
              <w:rPr>
                <w:rFonts w:ascii="Arial" w:cs="Arial" w:eastAsia="Arial" w:hAnsi="Arial"/>
                <w:color w:val="64748B"/>
                <w:sz w:val="20"/>
                <w:szCs w:val="20"/>
              </w:rPr>
              <w:t xml:space="preserve">  |  Dashboard, Review &amp; Approval, Execution &amp; Audit</w:t>
            </w:r>
          </w:p>
        </w:tc>
      </w:tr>
      <w:tr>
        <w:tc>
          <w:tcPr>
            <w:tcW w:type="dxa" w:w="9360"/>
            <w:tcBorders>
              <w:top w:val="none" w:color="FFFFFF" w:sz="0"/>
              <w:left w:val="none" w:color="FFFFFF" w:sz="0"/>
              <w:bottom w:val="none" w:color="FFFFFF" w:sz="0"/>
              <w:right w:val="none" w:color="FFFFFF" w:sz="0"/>
            </w:tcBorders>
            <w:shd w:fill="FFFFFF" w:val="clear"/>
            <w:tcMar>
              <w:top w:type="dxa" w:w="60"/>
              <w:left w:type="dxa" w:w="160"/>
              <w:bottom w:type="dxa" w:w="80"/>
              <w:right w:type="dxa" w:w="160"/>
            </w:tcMar>
          </w:tcPr>
          <w:p>
            <w:r>
              <w:rPr>
                <w:rFonts w:ascii="Arial" w:cs="Arial" w:eastAsia="Arial" w:hAnsi="Arial"/>
                <w:color w:val="1E293B"/>
                <w:sz w:val="20"/>
                <w:szCs w:val="20"/>
              </w:rPr>
              <w:t xml:space="preserve">Approves the Compliance step — the final mandatory gate. Also responsible for audit export and regulatory reporting.</w:t>
            </w:r>
          </w:p>
        </w:tc>
      </w:tr>
    </w:tbl>
    <w:p>
      <w:pPr>
        <w:spacing w:after="60" w:before="60"/>
      </w:pPr>
      <w:r>
        <w:t xml:space="preserve"/>
      </w:r>
    </w:p>
    <w:tbl>
      <w:tblPr>
        <w:tblW w:type="dxa" w:w="9360"/>
        <w:tblBorders>
          <w:top w:val="single" w:color="D97706" w:sz="4"/>
          <w:left w:val="single" w:color="D97706" w:sz="4"/>
          <w:bottom w:val="single" w:color="CBD5E1" w:sz="1"/>
          <w:right w:val="single" w:color="CBD5E1"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80"/>
              <w:left w:type="dxa" w:w="160"/>
              <w:bottom w:type="dxa" w:w="4"/>
              <w:right w:type="dxa" w:w="160"/>
            </w:tcMar>
          </w:tcPr>
          <w:p>
            <w:r>
              <w:rPr>
                <w:rFonts w:ascii="Arial" w:cs="Arial" w:eastAsia="Arial" w:hAnsi="Arial"/>
                <w:b/>
                <w:bCs/>
                <w:color w:val="D97706"/>
                <w:sz w:val="24"/>
                <w:szCs w:val="24"/>
              </w:rPr>
              <w:t xml:space="preserve">Senior Approver</w:t>
            </w:r>
            <w:r>
              <w:rPr>
                <w:rFonts w:ascii="Arial" w:cs="Arial" w:eastAsia="Arial" w:hAnsi="Arial"/>
                <w:color w:val="64748B"/>
                <w:sz w:val="20"/>
                <w:szCs w:val="20"/>
              </w:rPr>
              <w:t xml:space="preserve">  |  Dashboard, Review &amp; Approval</w:t>
            </w:r>
          </w:p>
        </w:tc>
      </w:tr>
      <w:tr>
        <w:tc>
          <w:tcPr>
            <w:tcW w:type="dxa" w:w="9360"/>
            <w:tcBorders>
              <w:top w:val="none" w:color="FFFFFF" w:sz="0"/>
              <w:left w:val="none" w:color="FFFFFF" w:sz="0"/>
              <w:bottom w:val="none" w:color="FFFFFF" w:sz="0"/>
              <w:right w:val="none" w:color="FFFFFF" w:sz="0"/>
            </w:tcBorders>
            <w:shd w:fill="FFFFFF" w:val="clear"/>
            <w:tcMar>
              <w:top w:type="dxa" w:w="60"/>
              <w:left w:type="dxa" w:w="160"/>
              <w:bottom w:type="dxa" w:w="80"/>
              <w:right w:type="dxa" w:w="160"/>
            </w:tcMar>
          </w:tcPr>
          <w:p>
            <w:r>
              <w:rPr>
                <w:rFonts w:ascii="Arial" w:cs="Arial" w:eastAsia="Arial" w:hAnsi="Arial"/>
                <w:color w:val="1E293B"/>
                <w:sz w:val="20"/>
                <w:szCs w:val="20"/>
              </w:rPr>
              <w:t xml:space="preserve">Can approve any step at any position in the chain, regardless of the step's assigned role. Override capability for urgent cases.</w:t>
            </w:r>
          </w:p>
        </w:tc>
      </w:tr>
    </w:tbl>
    <w:p>
      <w:pPr>
        <w:spacing w:after="60" w:before="60"/>
      </w:pPr>
      <w:r>
        <w:t xml:space="preserve"/>
      </w:r>
    </w:p>
    <w:tbl>
      <w:tblPr>
        <w:tblW w:type="dxa" w:w="9360"/>
        <w:tblBorders>
          <w:top w:val="single" w:color="475569" w:sz="4"/>
          <w:left w:val="single" w:color="475569" w:sz="4"/>
          <w:bottom w:val="single" w:color="CBD5E1" w:sz="1"/>
          <w:right w:val="single" w:color="CBD5E1"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80"/>
              <w:left w:type="dxa" w:w="160"/>
              <w:bottom w:type="dxa" w:w="4"/>
              <w:right w:type="dxa" w:w="160"/>
            </w:tcMar>
          </w:tcPr>
          <w:p>
            <w:r>
              <w:rPr>
                <w:rFonts w:ascii="Arial" w:cs="Arial" w:eastAsia="Arial" w:hAnsi="Arial"/>
                <w:b/>
                <w:bCs/>
                <w:color w:val="475569"/>
                <w:sz w:val="24"/>
                <w:szCs w:val="24"/>
              </w:rPr>
              <w:t xml:space="preserve">System Admin</w:t>
            </w:r>
            <w:r>
              <w:rPr>
                <w:rFonts w:ascii="Arial" w:cs="Arial" w:eastAsia="Arial" w:hAnsi="Arial"/>
                <w:color w:val="64748B"/>
                <w:sz w:val="20"/>
                <w:szCs w:val="20"/>
              </w:rPr>
              <w:t xml:space="preserve">  |  Admin Config only</w:t>
            </w:r>
          </w:p>
        </w:tc>
      </w:tr>
      <w:tr>
        <w:tc>
          <w:tcPr>
            <w:tcW w:type="dxa" w:w="9360"/>
            <w:tcBorders>
              <w:top w:val="none" w:color="FFFFFF" w:sz="0"/>
              <w:left w:val="none" w:color="FFFFFF" w:sz="0"/>
              <w:bottom w:val="none" w:color="FFFFFF" w:sz="0"/>
              <w:right w:val="none" w:color="FFFFFF" w:sz="0"/>
            </w:tcBorders>
            <w:shd w:fill="FFFFFF" w:val="clear"/>
            <w:tcMar>
              <w:top w:type="dxa" w:w="60"/>
              <w:left w:type="dxa" w:w="160"/>
              <w:bottom w:type="dxa" w:w="80"/>
              <w:right w:type="dxa" w:w="160"/>
            </w:tcMar>
          </w:tcPr>
          <w:p>
            <w:r>
              <w:rPr>
                <w:rFonts w:ascii="Arial" w:cs="Arial" w:eastAsia="Arial" w:hAnsi="Arial"/>
                <w:color w:val="1E293B"/>
                <w:sz w:val="20"/>
                <w:szCs w:val="20"/>
              </w:rPr>
              <w:t xml:space="preserve">Manages user role assignments, configures policy thresholds and AI settings. Cannot initiate or approve deviations.</w:t>
            </w:r>
          </w:p>
        </w:tc>
      </w:tr>
    </w:tbl>
    <w:p>
      <w:pPr>
        <w:spacing w:after="60" w:before="60"/>
      </w:pPr>
      <w:r>
        <w:t xml:space="preserve"/>
      </w:r>
    </w:p>
    <w:p>
      <w:r>
        <w:br w:type="page"/>
      </w:r>
    </w:p>
    <w:p>
      <w:pPr>
        <w:pStyle w:val="Heading1"/>
        <w:pBdr>
          <w:bottom w:val="single" w:color="4F46E5" w:sz="6" w:space="1"/>
        </w:pBdr>
        <w:spacing w:after="160" w:before="360"/>
      </w:pPr>
      <w:r>
        <w:rPr>
          <w:rFonts w:ascii="Arial" w:cs="Arial" w:eastAsia="Arial" w:hAnsi="Arial"/>
          <w:b/>
          <w:bCs/>
          <w:color w:val="4F46E5"/>
          <w:sz w:val="32"/>
          <w:szCs w:val="32"/>
        </w:rPr>
        <w:t xml:space="preserve">2. Application Layout</w:t>
      </w:r>
    </w:p>
    <w:p>
      <w:pPr>
        <w:spacing w:after="80" w:before="60"/>
      </w:pPr>
      <w:r>
        <w:rPr>
          <w:rFonts w:ascii="Arial" w:cs="Arial" w:eastAsia="Arial" w:hAnsi="Arial"/>
          <w:color w:val="1E293B"/>
          <w:sz w:val="22"/>
          <w:szCs w:val="22"/>
        </w:rPr>
        <w:t xml:space="preserve">The application has a consistent layout across all screens consisting of three zones: the sidebar, the top bar, and the main content area.</w:t>
      </w:r>
    </w:p>
    <w:p>
      <w:pPr>
        <w:spacing w:after="60" w:before="60"/>
      </w:pPr>
      <w:r>
        <w:t xml:space="preserve"/>
      </w:r>
    </w:p>
    <w:p>
      <w:pPr>
        <w:pStyle w:val="Heading2"/>
        <w:spacing w:after="120" w:before="280"/>
      </w:pPr>
      <w:r>
        <w:rPr>
          <w:rFonts w:ascii="Arial" w:cs="Arial" w:eastAsia="Arial" w:hAnsi="Arial"/>
          <w:b/>
          <w:bCs/>
          <w:color w:val="0F5B4B"/>
          <w:sz w:val="26"/>
          <w:szCs w:val="26"/>
        </w:rPr>
        <w:t xml:space="preserve">2.1 Sidebar (Left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360"/>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TelcoFlow AI logo</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Displayed at the top. Click does nothing — decorative branding.</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Current Role Context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Shows your active role in a blue-bordered box. Updates when you use the role switcher.</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Dashboard (Initiation)</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Navigate to the home screen with KPI cards and deviation feed.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Deviation Request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Navigate to the 3-step form for creating a new deviation.</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Review &amp; Approval</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Navigate to the sequential approval workflow for the selected deviation.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Execution &amp; Audit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Navigate to the audit log, AI summary, and regulatory export for the selected deviation.</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Admin (Config)</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Navigate to system administration. Visible to all roles but only functional for System Admin.</w:t>
            </w:r>
          </w:p>
        </w:tc>
      </w:tr>
    </w:tbl>
    <w:p>
      <w:pPr>
        <w:spacing w:after="60" w:before="60"/>
      </w:pPr>
      <w:r>
        <w:t xml:space="preserve"/>
      </w:r>
    </w:p>
    <w:p>
      <w:pPr>
        <w:pStyle w:val="Heading2"/>
        <w:spacing w:after="120" w:before="280"/>
      </w:pPr>
      <w:r>
        <w:rPr>
          <w:rFonts w:ascii="Arial" w:cs="Arial" w:eastAsia="Arial" w:hAnsi="Arial"/>
          <w:b/>
          <w:bCs/>
          <w:color w:val="0F5B4B"/>
          <w:sz w:val="26"/>
          <w:szCs w:val="26"/>
        </w:rPr>
        <w:t xml:space="preserve">2.2 Top Bar</w:t>
      </w:r>
    </w:p>
    <w:p>
      <w:pPr>
        <w:spacing w:after="80" w:before="60"/>
      </w:pPr>
      <w:r>
        <w:rPr>
          <w:rFonts w:ascii="Arial" w:cs="Arial" w:eastAsia="Arial" w:hAnsi="Arial"/>
          <w:color w:val="1E293B"/>
          <w:sz w:val="22"/>
          <w:szCs w:val="22"/>
        </w:rPr>
        <w:t xml:space="preserve">The top bar shows the current screen title on the left and the Role Switcher on the right.</w:t>
      </w:r>
    </w:p>
    <w:p>
      <w:pPr>
        <w:spacing w:after="60" w:before="60"/>
      </w:pPr>
      <w:r>
        <w:t xml:space="preserve"/>
      </w:r>
    </w:p>
    <w:tbl>
      <w:tblPr>
        <w:tblW w:type="dxa" w:w="9360"/>
        <w:tblBorders>
          <w:top w:val="single" w:color="D97706" w:sz="4"/>
          <w:left w:val="single" w:color="D97706" w:sz="4"/>
          <w:bottom w:val="single" w:color="D97706" w:sz="1"/>
          <w:right w:val="single" w:color="D97706"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60"/>
              <w:left w:type="dxa" w:w="160"/>
              <w:bottom w:type="dxa" w:w="60"/>
              <w:right w:type="dxa" w:w="160"/>
            </w:tcMar>
          </w:tcPr>
          <w:p>
            <w:pPr>
              <w:spacing w:after="20" w:before="20"/>
            </w:pPr>
            <w:r>
              <w:rPr>
                <w:rFonts w:ascii="Arial" w:cs="Arial" w:eastAsia="Arial" w:hAnsi="Arial"/>
                <w:color w:val="1E293B"/>
                <w:sz w:val="20"/>
                <w:szCs w:val="20"/>
              </w:rPr>
              <w:t xml:space="preserve">  IMPORTANT: The Role Switcher (Impersonate dropdown) lets you switch between user roles during testing.</w:t>
            </w:r>
          </w:p>
        </w:tc>
      </w:tr>
      <w:tr>
        <w:tc>
          <w:tcPr>
            <w:tcW w:type="dxa" w:w="9360"/>
            <w:tcBorders>
              <w:top w:val="none" w:color="FFFFFF" w:sz="0"/>
              <w:left w:val="none" w:color="FFFFFF" w:sz="0"/>
              <w:bottom w:val="none" w:color="FFFFFF" w:sz="0"/>
              <w:right w:val="none" w:color="FFFFFF" w:sz="0"/>
            </w:tcBorders>
            <w:shd w:fill="FEF3C7" w:val="clear"/>
            <w:tcMar>
              <w:top w:type="dxa" w:w="60"/>
              <w:left w:type="dxa" w:w="160"/>
              <w:bottom w:type="dxa" w:w="60"/>
              <w:right w:type="dxa" w:w="160"/>
            </w:tcMar>
          </w:tcPr>
          <w:p>
            <w:pPr>
              <w:spacing w:after="20" w:before="20"/>
            </w:pPr>
            <w:r>
              <w:rPr>
                <w:rFonts w:ascii="Arial" w:cs="Arial" w:eastAsia="Arial" w:hAnsi="Arial"/>
                <w:color w:val="1E293B"/>
                <w:sz w:val="20"/>
                <w:szCs w:val="20"/>
              </w:rPr>
              <w:t xml:space="preserve">  In a production system, this would be replaced by a proper authentication system.</w:t>
            </w:r>
          </w:p>
        </w:tc>
      </w:tr>
      <w:tr>
        <w:tc>
          <w:tcPr>
            <w:tcW w:type="dxa" w:w="9360"/>
            <w:tcBorders>
              <w:top w:val="none" w:color="FFFFFF" w:sz="0"/>
              <w:left w:val="none" w:color="FFFFFF" w:sz="0"/>
              <w:bottom w:val="none" w:color="FFFFFF" w:sz="0"/>
              <w:right w:val="none" w:color="FFFFFF" w:sz="0"/>
            </w:tcBorders>
            <w:shd w:fill="FEF3C7" w:val="clear"/>
            <w:tcMar>
              <w:top w:type="dxa" w:w="60"/>
              <w:left w:type="dxa" w:w="160"/>
              <w:bottom w:type="dxa" w:w="60"/>
              <w:right w:type="dxa" w:w="160"/>
            </w:tcMar>
          </w:tcPr>
          <w:p>
            <w:pPr>
              <w:spacing w:after="20" w:before="20"/>
            </w:pPr>
            <w:r>
              <w:rPr>
                <w:rFonts w:ascii="Arial" w:cs="Arial" w:eastAsia="Arial" w:hAnsi="Arial"/>
                <w:color w:val="1E293B"/>
                <w:sz w:val="20"/>
                <w:szCs w:val="20"/>
              </w:rPr>
              <w:t xml:space="preserve">  Switching roles updates the sidebar context label, the approval queue, and which buttons are enabled.</w:t>
            </w:r>
          </w:p>
        </w:tc>
      </w:tr>
    </w:tbl>
    <w:p>
      <w:pPr>
        <w:spacing w:after="60" w:before="60"/>
      </w:pPr>
      <w:r>
        <w:t xml:space="preserve"/>
      </w:r>
    </w:p>
    <w:p>
      <w:r>
        <w:br w:type="page"/>
      </w:r>
    </w:p>
    <w:p>
      <w:pPr>
        <w:pStyle w:val="Heading1"/>
        <w:pBdr>
          <w:bottom w:val="single" w:color="4F46E5" w:sz="6" w:space="1"/>
        </w:pBdr>
        <w:spacing w:after="160" w:before="360"/>
      </w:pPr>
      <w:r>
        <w:rPr>
          <w:rFonts w:ascii="Arial" w:cs="Arial" w:eastAsia="Arial" w:hAnsi="Arial"/>
          <w:b/>
          <w:bCs/>
          <w:color w:val="4F46E5"/>
          <w:sz w:val="32"/>
          <w:szCs w:val="32"/>
        </w:rPr>
        <w:t xml:space="preserve">3. Screen-by-Screen Guide</w:t>
      </w:r>
    </w:p>
    <w:p>
      <w:pPr>
        <w:pStyle w:val="Heading2"/>
        <w:spacing w:after="120" w:before="280"/>
      </w:pPr>
      <w:r>
        <w:rPr>
          <w:rFonts w:ascii="Arial" w:cs="Arial" w:eastAsia="Arial" w:hAnsi="Arial"/>
          <w:b/>
          <w:bCs/>
          <w:color w:val="0F5B4B"/>
          <w:sz w:val="26"/>
          <w:szCs w:val="26"/>
        </w:rPr>
        <w:t xml:space="preserve">3.1 Dashboard (Initiation Layer)</w:t>
      </w:r>
    </w:p>
    <w:p>
      <w:pPr>
        <w:spacing w:after="80" w:before="60"/>
      </w:pPr>
      <w:r>
        <w:rPr>
          <w:rFonts w:ascii="Arial" w:cs="Arial" w:eastAsia="Arial" w:hAnsi="Arial"/>
          <w:color w:val="1E293B"/>
          <w:sz w:val="22"/>
          <w:szCs w:val="22"/>
        </w:rPr>
        <w:t xml:space="preserve">The Dashboard is the first screen you see when you log in. It gives you an at-a-glance overview of all deviation activity and shows items pending your approval.</w:t>
      </w:r>
    </w:p>
    <w:p>
      <w:pPr>
        <w:spacing w:after="60" w:before="60"/>
      </w:pPr>
      <w:r>
        <w:t xml:space="preserve"/>
      </w:r>
    </w:p>
    <w:p>
      <w:pPr>
        <w:pStyle w:val="Heading3"/>
        <w:spacing w:after="80" w:before="200"/>
      </w:pPr>
      <w:r>
        <w:rPr>
          <w:rFonts w:ascii="Arial" w:cs="Arial" w:eastAsia="Arial" w:hAnsi="Arial"/>
          <w:b/>
          <w:bCs/>
          <w:color w:val="1E293B"/>
          <w:sz w:val="24"/>
          <w:szCs w:val="24"/>
        </w:rPr>
        <w:t xml:space="preserve">3.1.1 KPI Metric Cards</w:t>
      </w:r>
    </w:p>
    <w:p>
      <w:pPr>
        <w:spacing w:after="80" w:before="60"/>
      </w:pPr>
      <w:r>
        <w:rPr>
          <w:rFonts w:ascii="Arial" w:cs="Arial" w:eastAsia="Arial" w:hAnsi="Arial"/>
          <w:color w:val="1E293B"/>
          <w:sz w:val="22"/>
          <w:szCs w:val="22"/>
        </w:rPr>
        <w:t xml:space="preserve">Four cards at the top of the screen show live counts pulled from the database:</w:t>
      </w:r>
    </w:p>
    <w:p>
      <w:pPr>
        <w:pStyle w:val="ListParagraph"/>
        <w:numPr>
          <w:ilvl w:val="0"/>
          <w:numId w:val="2"/>
        </w:numPr>
        <w:spacing w:after="40" w:before="40"/>
      </w:pPr>
      <w:r>
        <w:rPr>
          <w:rFonts w:ascii="Arial" w:cs="Arial" w:eastAsia="Arial" w:hAnsi="Arial"/>
          <w:color w:val="1E293B"/>
          <w:sz w:val="22"/>
          <w:szCs w:val="22"/>
        </w:rPr>
        <w:t xml:space="preserve">Open Requests — total deviations currently in in_review status awaiting action</w:t>
      </w:r>
    </w:p>
    <w:p>
      <w:pPr>
        <w:pStyle w:val="ListParagraph"/>
        <w:numPr>
          <w:ilvl w:val="0"/>
          <w:numId w:val="2"/>
        </w:numPr>
        <w:spacing w:after="40" w:before="40"/>
      </w:pPr>
      <w:r>
        <w:rPr>
          <w:rFonts w:ascii="Arial" w:cs="Arial" w:eastAsia="Arial" w:hAnsi="Arial"/>
          <w:color w:val="1E293B"/>
          <w:sz w:val="22"/>
          <w:szCs w:val="22"/>
        </w:rPr>
        <w:t xml:space="preserve">Pending My Approval — steps in the approval queue assigned to your current role</w:t>
      </w:r>
    </w:p>
    <w:p>
      <w:pPr>
        <w:pStyle w:val="ListParagraph"/>
        <w:numPr>
          <w:ilvl w:val="0"/>
          <w:numId w:val="2"/>
        </w:numPr>
        <w:spacing w:after="40" w:before="40"/>
      </w:pPr>
      <w:r>
        <w:rPr>
          <w:rFonts w:ascii="Arial" w:cs="Arial" w:eastAsia="Arial" w:hAnsi="Arial"/>
          <w:color w:val="1E293B"/>
          <w:sz w:val="22"/>
          <w:szCs w:val="22"/>
        </w:rPr>
        <w:t xml:space="preserve">Approved This Month — deviations that reached approved status</w:t>
      </w:r>
    </w:p>
    <w:p>
      <w:pPr>
        <w:pStyle w:val="ListParagraph"/>
        <w:numPr>
          <w:ilvl w:val="0"/>
          <w:numId w:val="2"/>
        </w:numPr>
        <w:spacing w:after="40" w:before="40"/>
      </w:pPr>
      <w:r>
        <w:rPr>
          <w:rFonts w:ascii="Arial" w:cs="Arial" w:eastAsia="Arial" w:hAnsi="Arial"/>
          <w:color w:val="1E293B"/>
          <w:sz w:val="22"/>
          <w:szCs w:val="22"/>
        </w:rPr>
        <w:t xml:space="preserve">Rejected — deviations that were rejected at any approval step</w:t>
      </w:r>
    </w:p>
    <w:p>
      <w:pPr>
        <w:spacing w:after="60" w:before="60"/>
      </w:pPr>
      <w:r>
        <w:t xml:space="preserve"/>
      </w:r>
    </w:p>
    <w:p>
      <w:pPr>
        <w:pStyle w:val="Heading3"/>
        <w:spacing w:after="80" w:before="200"/>
      </w:pPr>
      <w:r>
        <w:rPr>
          <w:rFonts w:ascii="Arial" w:cs="Arial" w:eastAsia="Arial" w:hAnsi="Arial"/>
          <w:b/>
          <w:bCs/>
          <w:color w:val="1E293B"/>
          <w:sz w:val="24"/>
          <w:szCs w:val="24"/>
        </w:rPr>
        <w:t xml:space="preserve">3.1.2 Recent Deviations Table</w:t>
      </w:r>
    </w:p>
    <w:p>
      <w:pPr>
        <w:spacing w:after="80" w:before="60"/>
      </w:pPr>
      <w:r>
        <w:rPr>
          <w:rFonts w:ascii="Arial" w:cs="Arial" w:eastAsia="Arial" w:hAnsi="Arial"/>
          <w:color w:val="1E293B"/>
          <w:sz w:val="22"/>
          <w:szCs w:val="22"/>
        </w:rPr>
        <w:t xml:space="preserve">The table on the left side lists all deviations across all users. Each row shows:</w:t>
      </w:r>
    </w:p>
    <w:p>
      <w:pPr>
        <w:pStyle w:val="ListParagraph"/>
        <w:numPr>
          <w:ilvl w:val="0"/>
          <w:numId w:val="2"/>
        </w:numPr>
        <w:spacing w:after="40" w:before="40"/>
      </w:pPr>
      <w:r>
        <w:rPr>
          <w:rFonts w:ascii="Arial" w:cs="Arial" w:eastAsia="Arial" w:hAnsi="Arial"/>
          <w:color w:val="1E293B"/>
          <w:sz w:val="22"/>
          <w:szCs w:val="22"/>
        </w:rPr>
        <w:t xml:space="preserve">ID — the unique deviation identifier (e.g. DEV-2604-A3F2). Click a row to open it in Review &amp; Approval.</w:t>
      </w:r>
    </w:p>
    <w:p>
      <w:pPr>
        <w:pStyle w:val="ListParagraph"/>
        <w:numPr>
          <w:ilvl w:val="0"/>
          <w:numId w:val="2"/>
        </w:numPr>
        <w:spacing w:after="40" w:before="40"/>
      </w:pPr>
      <w:r>
        <w:rPr>
          <w:rFonts w:ascii="Arial" w:cs="Arial" w:eastAsia="Arial" w:hAnsi="Arial"/>
          <w:color w:val="1E293B"/>
          <w:sz w:val="22"/>
          <w:szCs w:val="22"/>
        </w:rPr>
        <w:t xml:space="preserve">Type — the deviation category (billing credit, bandwidth, sla waiver, etc.)</w:t>
      </w:r>
    </w:p>
    <w:p>
      <w:pPr>
        <w:pStyle w:val="ListParagraph"/>
        <w:numPr>
          <w:ilvl w:val="0"/>
          <w:numId w:val="2"/>
        </w:numPr>
        <w:spacing w:after="40" w:before="40"/>
      </w:pPr>
      <w:r>
        <w:rPr>
          <w:rFonts w:ascii="Arial" w:cs="Arial" w:eastAsia="Arial" w:hAnsi="Arial"/>
          <w:color w:val="1E293B"/>
          <w:sz w:val="22"/>
          <w:szCs w:val="22"/>
        </w:rPr>
        <w:t xml:space="preserve">Customer — the customer the deviation applies to</w:t>
      </w:r>
    </w:p>
    <w:p>
      <w:pPr>
        <w:pStyle w:val="ListParagraph"/>
        <w:numPr>
          <w:ilvl w:val="0"/>
          <w:numId w:val="2"/>
        </w:numPr>
        <w:spacing w:after="40" w:before="40"/>
      </w:pPr>
      <w:r>
        <w:rPr>
          <w:rFonts w:ascii="Arial" w:cs="Arial" w:eastAsia="Arial" w:hAnsi="Arial"/>
          <w:color w:val="1E293B"/>
          <w:sz w:val="22"/>
          <w:szCs w:val="22"/>
        </w:rPr>
        <w:t xml:space="preserve">Status — colour-coded badge: blue=in_review, green=approved, red=rejected, grey=draft</w:t>
      </w:r>
    </w:p>
    <w:p>
      <w:pPr>
        <w:pStyle w:val="ListParagraph"/>
        <w:numPr>
          <w:ilvl w:val="0"/>
          <w:numId w:val="2"/>
        </w:numPr>
        <w:spacing w:after="40" w:before="40"/>
      </w:pPr>
      <w:r>
        <w:rPr>
          <w:rFonts w:ascii="Arial" w:cs="Arial" w:eastAsia="Arial" w:hAnsi="Arial"/>
          <w:color w:val="1E293B"/>
          <w:sz w:val="22"/>
          <w:szCs w:val="22"/>
        </w:rPr>
        <w:t xml:space="preserve">Raised By — the username of the person who created the deviation</w:t>
      </w:r>
    </w:p>
    <w:p>
      <w:pPr>
        <w:spacing w:after="60" w:before="60"/>
      </w:pPr>
      <w:r>
        <w:t xml:space="preserve"/>
      </w:r>
    </w:p>
    <w:tbl>
      <w:tblPr>
        <w:tblW w:type="dxa" w:w="9360"/>
        <w:tblBorders>
          <w:top w:val="single" w:color="0F5B4B" w:sz="4"/>
          <w:left w:val="single" w:color="0F5B4B" w:sz="4"/>
          <w:bottom w:val="single" w:color="0F5B4B" w:sz="1"/>
          <w:right w:val="single" w:color="0F5B4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DF4" w:val="clear"/>
            <w:tcMar>
              <w:top w:type="dxa" w:w="60"/>
              <w:left w:type="dxa" w:w="160"/>
              <w:bottom w:type="dxa" w:w="60"/>
              <w:right w:type="dxa" w:w="160"/>
            </w:tcMar>
          </w:tcPr>
          <w:p>
            <w:pPr>
              <w:spacing w:after="20" w:before="20"/>
            </w:pPr>
            <w:r>
              <w:rPr>
                <w:rFonts w:ascii="Arial" w:cs="Arial" w:eastAsia="Arial" w:hAnsi="Arial"/>
                <w:color w:val="1E293B"/>
                <w:sz w:val="20"/>
                <w:szCs w:val="20"/>
              </w:rPr>
              <w:t xml:space="preserve">  TIP: Click any row in the Recent Deviations table to navigate directly to the Review &amp; Approval screen for that deviation.</w:t>
            </w:r>
          </w:p>
        </w:tc>
      </w:tr>
    </w:tbl>
    <w:p>
      <w:pPr>
        <w:spacing w:after="60" w:before="60"/>
      </w:pPr>
      <w:r>
        <w:t xml:space="preserve"/>
      </w:r>
    </w:p>
    <w:p>
      <w:pPr>
        <w:pStyle w:val="Heading3"/>
        <w:spacing w:after="80" w:before="200"/>
      </w:pPr>
      <w:r>
        <w:rPr>
          <w:rFonts w:ascii="Arial" w:cs="Arial" w:eastAsia="Arial" w:hAnsi="Arial"/>
          <w:b/>
          <w:bCs/>
          <w:color w:val="1E293B"/>
          <w:sz w:val="24"/>
          <w:szCs w:val="24"/>
        </w:rPr>
        <w:t xml:space="preserve">3.1.3 Pending My Approval Panel</w:t>
      </w:r>
    </w:p>
    <w:p>
      <w:pPr>
        <w:spacing w:after="80" w:before="60"/>
      </w:pPr>
      <w:r>
        <w:rPr>
          <w:rFonts w:ascii="Arial" w:cs="Arial" w:eastAsia="Arial" w:hAnsi="Arial"/>
          <w:color w:val="1E293B"/>
          <w:sz w:val="22"/>
          <w:szCs w:val="22"/>
        </w:rPr>
        <w:t xml:space="preserve">The right panel shows only the approval steps that are currently assigned to your role and awaiting action. Each card shows the deviation ID and a Review button that takes you directly to the approval screen.</w:t>
      </w:r>
    </w:p>
    <w:p>
      <w:pPr>
        <w:spacing w:after="60" w:before="60"/>
      </w:pPr>
      <w:r>
        <w:t xml:space="preserve"/>
      </w:r>
    </w:p>
    <w:p>
      <w:r>
        <w:br w:type="page"/>
      </w:r>
    </w:p>
    <w:p>
      <w:pPr>
        <w:pStyle w:val="Heading2"/>
        <w:spacing w:after="120" w:before="280"/>
      </w:pPr>
      <w:r>
        <w:rPr>
          <w:rFonts w:ascii="Arial" w:cs="Arial" w:eastAsia="Arial" w:hAnsi="Arial"/>
          <w:b/>
          <w:bCs/>
          <w:color w:val="0F5B4B"/>
          <w:sz w:val="26"/>
          <w:szCs w:val="26"/>
        </w:rPr>
        <w:t xml:space="preserve">3.2 Deviation Request Form (New Deviation)</w:t>
      </w:r>
    </w:p>
    <w:p>
      <w:pPr>
        <w:spacing w:after="80" w:before="60"/>
      </w:pPr>
      <w:r>
        <w:rPr>
          <w:rFonts w:ascii="Arial" w:cs="Arial" w:eastAsia="Arial" w:hAnsi="Arial"/>
          <w:color w:val="1E293B"/>
          <w:sz w:val="22"/>
          <w:szCs w:val="22"/>
        </w:rPr>
        <w:t xml:space="preserve">This screen is used to create and submit a new operational deviation request. It is a 3-step process guided by a progress indicator at the top.</w:t>
      </w:r>
    </w:p>
    <w:p>
      <w:pPr>
        <w:spacing w:after="60" w:before="60"/>
      </w:pPr>
      <w:r>
        <w:t xml:space="preserve"/>
      </w:r>
    </w:p>
    <w:p>
      <w:pPr>
        <w:pStyle w:val="Heading3"/>
        <w:spacing w:after="80" w:before="200"/>
      </w:pPr>
      <w:r>
        <w:rPr>
          <w:rFonts w:ascii="Arial" w:cs="Arial" w:eastAsia="Arial" w:hAnsi="Arial"/>
          <w:b/>
          <w:bCs/>
          <w:color w:val="1E293B"/>
          <w:sz w:val="24"/>
          <w:szCs w:val="24"/>
        </w:rPr>
        <w:t xml:space="preserve">Step 1 — Request Details</w:t>
      </w:r>
    </w:p>
    <w:p>
      <w:pPr>
        <w:spacing w:after="80" w:before="60"/>
      </w:pPr>
      <w:r>
        <w:rPr>
          <w:rFonts w:ascii="Arial" w:cs="Arial" w:eastAsia="Arial" w:hAnsi="Arial"/>
          <w:color w:val="1E293B"/>
          <w:sz w:val="22"/>
          <w:szCs w:val="22"/>
        </w:rPr>
        <w:t xml:space="preserve">Fill in the deviation details on the left side of the form:</w:t>
      </w:r>
    </w:p>
    <w:p>
      <w:pPr>
        <w:pStyle w:val="ListParagraph"/>
        <w:numPr>
          <w:ilvl w:val="0"/>
          <w:numId w:val="2"/>
        </w:numPr>
        <w:spacing w:after="40" w:before="40"/>
      </w:pPr>
      <w:r>
        <w:rPr>
          <w:rFonts w:ascii="Arial" w:cs="Arial" w:eastAsia="Arial" w:hAnsi="Arial"/>
          <w:color w:val="1E293B"/>
          <w:sz w:val="22"/>
          <w:szCs w:val="22"/>
        </w:rPr>
        <w:t xml:space="preserve">Deviation Type — select from the dropdown: billing credit, bandwidth, sla waiver, content access, kyc deferral</w:t>
      </w:r>
    </w:p>
    <w:p>
      <w:pPr>
        <w:pStyle w:val="ListParagraph"/>
        <w:numPr>
          <w:ilvl w:val="0"/>
          <w:numId w:val="2"/>
        </w:numPr>
        <w:spacing w:after="40" w:before="40"/>
      </w:pPr>
      <w:r>
        <w:rPr>
          <w:rFonts w:ascii="Arial" w:cs="Arial" w:eastAsia="Arial" w:hAnsi="Arial"/>
          <w:color w:val="1E293B"/>
          <w:sz w:val="22"/>
          <w:szCs w:val="22"/>
        </w:rPr>
        <w:t xml:space="preserve">Customer Name — the full name of the customer affected (required, minimum 2 characters)</w:t>
      </w:r>
    </w:p>
    <w:p>
      <w:pPr>
        <w:pStyle w:val="ListParagraph"/>
        <w:numPr>
          <w:ilvl w:val="0"/>
          <w:numId w:val="2"/>
        </w:numPr>
        <w:spacing w:after="40" w:before="40"/>
      </w:pPr>
      <w:r>
        <w:rPr>
          <w:rFonts w:ascii="Arial" w:cs="Arial" w:eastAsia="Arial" w:hAnsi="Arial"/>
          <w:color w:val="1E293B"/>
          <w:sz w:val="22"/>
          <w:szCs w:val="22"/>
        </w:rPr>
        <w:t xml:space="preserve">Account ID — the customer's account reference number (optional)</w:t>
      </w:r>
    </w:p>
    <w:p>
      <w:pPr>
        <w:pStyle w:val="ListParagraph"/>
        <w:numPr>
          <w:ilvl w:val="0"/>
          <w:numId w:val="2"/>
        </w:numPr>
        <w:spacing w:after="40" w:before="40"/>
      </w:pPr>
      <w:r>
        <w:rPr>
          <w:rFonts w:ascii="Arial" w:cs="Arial" w:eastAsia="Arial" w:hAnsi="Arial"/>
          <w:color w:val="1E293B"/>
          <w:sz w:val="22"/>
          <w:szCs w:val="22"/>
        </w:rPr>
        <w:t xml:space="preserve">Scope / Description — describe what the deviation covers and why it is needed (required, minimum 10 characters)</w:t>
      </w:r>
    </w:p>
    <w:p>
      <w:pPr>
        <w:pStyle w:val="ListParagraph"/>
        <w:numPr>
          <w:ilvl w:val="0"/>
          <w:numId w:val="2"/>
        </w:numPr>
        <w:spacing w:after="40" w:before="40"/>
      </w:pPr>
      <w:r>
        <w:rPr>
          <w:rFonts w:ascii="Arial" w:cs="Arial" w:eastAsia="Arial" w:hAnsi="Arial"/>
          <w:color w:val="1E293B"/>
          <w:sz w:val="22"/>
          <w:szCs w:val="22"/>
        </w:rPr>
        <w:t xml:space="preserve">Requested Value — the amount being requested (USD for billing credits, % for bandwidth, days for waivers)</w:t>
      </w:r>
    </w:p>
    <w:p>
      <w:pPr>
        <w:pStyle w:val="ListParagraph"/>
        <w:numPr>
          <w:ilvl w:val="0"/>
          <w:numId w:val="2"/>
        </w:numPr>
        <w:spacing w:after="40" w:before="40"/>
      </w:pPr>
      <w:r>
        <w:rPr>
          <w:rFonts w:ascii="Arial" w:cs="Arial" w:eastAsia="Arial" w:hAnsi="Arial"/>
          <w:color w:val="1E293B"/>
          <w:sz w:val="22"/>
          <w:szCs w:val="22"/>
        </w:rPr>
        <w:t xml:space="preserve">Standard Limit — auto-filled based on the selected deviation type. This is the policy threshold you are requesting to exceed.</w:t>
      </w:r>
    </w:p>
    <w:p>
      <w:pPr>
        <w:pStyle w:val="ListParagraph"/>
        <w:numPr>
          <w:ilvl w:val="0"/>
          <w:numId w:val="2"/>
        </w:numPr>
        <w:spacing w:after="40" w:before="40"/>
      </w:pPr>
      <w:r>
        <w:rPr>
          <w:rFonts w:ascii="Arial" w:cs="Arial" w:eastAsia="Arial" w:hAnsi="Arial"/>
          <w:color w:val="1E293B"/>
          <w:sz w:val="22"/>
          <w:szCs w:val="22"/>
        </w:rPr>
        <w:t xml:space="preserve">Urgency — Low, Medium, High, or Critical. This affects how the AI risk score is calculated.</w:t>
      </w:r>
    </w:p>
    <w:p>
      <w:pPr>
        <w:pStyle w:val="ListParagraph"/>
        <w:numPr>
          <w:ilvl w:val="0"/>
          <w:numId w:val="2"/>
        </w:numPr>
        <w:spacing w:after="40" w:before="40"/>
      </w:pPr>
      <w:r>
        <w:rPr>
          <w:rFonts w:ascii="Arial" w:cs="Arial" w:eastAsia="Arial" w:hAnsi="Arial"/>
          <w:color w:val="1E293B"/>
          <w:sz w:val="22"/>
          <w:szCs w:val="22"/>
        </w:rPr>
        <w:t xml:space="preserve">Expiry Date — when the deviation should expire (optional)</w:t>
      </w:r>
    </w:p>
    <w:p>
      <w:pPr>
        <w:spacing w:after="60" w:before="60"/>
      </w:pPr>
      <w:r>
        <w:t xml:space="preserve"/>
      </w:r>
    </w:p>
    <w:p>
      <w:pPr>
        <w:spacing w:after="80" w:before="60"/>
      </w:pPr>
      <w:r>
        <w:rPr>
          <w:rFonts w:ascii="Arial" w:cs="Arial" w:eastAsia="Arial" w:hAnsi="Arial"/>
          <w:color w:val="1E293B"/>
          <w:sz w:val="22"/>
          <w:szCs w:val="22"/>
        </w:rPr>
        <w:t xml:space="preserve">The Breach Amount indicator appears in amber if your requested value exceeds the standard limit, showing exactly how much you are requesting above the policy threshold.</w:t>
      </w:r>
    </w:p>
    <w:p>
      <w:pPr>
        <w:spacing w:after="60" w:before="60"/>
      </w:pPr>
      <w:r>
        <w:t xml:space="preserve"/>
      </w:r>
    </w:p>
    <w:tbl>
      <w:tblPr>
        <w:tblW w:type="dxa" w:w="9360"/>
        <w:tblBorders>
          <w:top w:val="single" w:color="B91C1C" w:sz="4"/>
          <w:left w:val="single" w:color="B91C1C" w:sz="4"/>
          <w:bottom w:val="single" w:color="B91C1C" w:sz="1"/>
          <w:right w:val="single" w:color="B91C1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4E0" w:val="clear"/>
            <w:tcMar>
              <w:top w:type="dxa" w:w="60"/>
              <w:left w:type="dxa" w:w="160"/>
              <w:bottom w:type="dxa" w:w="60"/>
              <w:right w:type="dxa" w:w="160"/>
            </w:tcMar>
          </w:tcPr>
          <w:p>
            <w:pPr>
              <w:spacing w:after="20" w:before="20"/>
            </w:pPr>
            <w:r>
              <w:rPr>
                <w:rFonts w:ascii="Arial" w:cs="Arial" w:eastAsia="Arial" w:hAnsi="Arial"/>
                <w:color w:val="1E293B"/>
                <w:sz w:val="20"/>
                <w:szCs w:val="20"/>
              </w:rPr>
              <w:t xml:space="preserve">  GUARDRAIL RULES: The Guardrail Agent automatically blocks submissions that:</w:t>
            </w:r>
          </w:p>
        </w:tc>
      </w:tr>
      <w:tr>
        <w:tc>
          <w:tcPr>
            <w:tcW w:type="dxa" w:w="9360"/>
            <w:tcBorders>
              <w:top w:val="none" w:color="FFFFFF" w:sz="0"/>
              <w:left w:val="none" w:color="FFFFFF" w:sz="0"/>
              <w:bottom w:val="none" w:color="FFFFFF" w:sz="0"/>
              <w:right w:val="none" w:color="FFFFFF" w:sz="0"/>
            </w:tcBorders>
            <w:shd w:fill="FFE4E0" w:val="clear"/>
            <w:tcMar>
              <w:top w:type="dxa" w:w="60"/>
              <w:left w:type="dxa" w:w="160"/>
              <w:bottom w:type="dxa" w:w="60"/>
              <w:right w:type="dxa" w:w="160"/>
            </w:tcMar>
          </w:tcPr>
          <w:p>
            <w:pPr>
              <w:spacing w:after="20" w:before="20"/>
            </w:pPr>
            <w:r>
              <w:rPr>
                <w:rFonts w:ascii="Arial" w:cs="Arial" w:eastAsia="Arial" w:hAnsi="Arial"/>
                <w:color w:val="1E293B"/>
                <w:sz w:val="20"/>
                <w:szCs w:val="20"/>
              </w:rPr>
              <w:t xml:space="preserve">    - Use an unrecognised deviation type</w:t>
            </w:r>
          </w:p>
        </w:tc>
      </w:tr>
      <w:tr>
        <w:tc>
          <w:tcPr>
            <w:tcW w:type="dxa" w:w="9360"/>
            <w:tcBorders>
              <w:top w:val="none" w:color="FFFFFF" w:sz="0"/>
              <w:left w:val="none" w:color="FFFFFF" w:sz="0"/>
              <w:bottom w:val="none" w:color="FFFFFF" w:sz="0"/>
              <w:right w:val="none" w:color="FFFFFF" w:sz="0"/>
            </w:tcBorders>
            <w:shd w:fill="FFE4E0" w:val="clear"/>
            <w:tcMar>
              <w:top w:type="dxa" w:w="60"/>
              <w:left w:type="dxa" w:w="160"/>
              <w:bottom w:type="dxa" w:w="60"/>
              <w:right w:type="dxa" w:w="160"/>
            </w:tcMar>
          </w:tcPr>
          <w:p>
            <w:pPr>
              <w:spacing w:after="20" w:before="20"/>
            </w:pPr>
            <w:r>
              <w:rPr>
                <w:rFonts w:ascii="Arial" w:cs="Arial" w:eastAsia="Arial" w:hAnsi="Arial"/>
                <w:color w:val="1E293B"/>
                <w:sz w:val="20"/>
                <w:szCs w:val="20"/>
              </w:rPr>
              <w:t xml:space="preserve">    - Request a value of zero or below</w:t>
            </w:r>
          </w:p>
        </w:tc>
      </w:tr>
      <w:tr>
        <w:tc>
          <w:tcPr>
            <w:tcW w:type="dxa" w:w="9360"/>
            <w:tcBorders>
              <w:top w:val="none" w:color="FFFFFF" w:sz="0"/>
              <w:left w:val="none" w:color="FFFFFF" w:sz="0"/>
              <w:bottom w:val="none" w:color="FFFFFF" w:sz="0"/>
              <w:right w:val="none" w:color="FFFFFF" w:sz="0"/>
            </w:tcBorders>
            <w:shd w:fill="FFE4E0" w:val="clear"/>
            <w:tcMar>
              <w:top w:type="dxa" w:w="60"/>
              <w:left w:type="dxa" w:w="160"/>
              <w:bottom w:type="dxa" w:w="60"/>
              <w:right w:type="dxa" w:w="160"/>
            </w:tcMar>
          </w:tcPr>
          <w:p>
            <w:pPr>
              <w:spacing w:after="20" w:before="20"/>
            </w:pPr>
            <w:r>
              <w:rPr>
                <w:rFonts w:ascii="Arial" w:cs="Arial" w:eastAsia="Arial" w:hAnsi="Arial"/>
                <w:color w:val="1E293B"/>
                <w:sz w:val="20"/>
                <w:szCs w:val="20"/>
              </w:rPr>
              <w:t xml:space="preserve">    - Exceed the absolute hard limit for that type (e.g. billing credits above USD 100,000)</w:t>
            </w:r>
          </w:p>
        </w:tc>
      </w:tr>
      <w:tr>
        <w:tc>
          <w:tcPr>
            <w:tcW w:type="dxa" w:w="9360"/>
            <w:tcBorders>
              <w:top w:val="none" w:color="FFFFFF" w:sz="0"/>
              <w:left w:val="none" w:color="FFFFFF" w:sz="0"/>
              <w:bottom w:val="none" w:color="FFFFFF" w:sz="0"/>
              <w:right w:val="none" w:color="FFFFFF" w:sz="0"/>
            </w:tcBorders>
            <w:shd w:fill="FFE4E0" w:val="clear"/>
            <w:tcMar>
              <w:top w:type="dxa" w:w="60"/>
              <w:left w:type="dxa" w:w="160"/>
              <w:bottom w:type="dxa" w:w="60"/>
              <w:right w:type="dxa" w:w="160"/>
            </w:tcMar>
          </w:tcPr>
          <w:p>
            <w:pPr>
              <w:spacing w:after="20" w:before="20"/>
            </w:pPr>
            <w:r>
              <w:rPr>
                <w:rFonts w:ascii="Arial" w:cs="Arial" w:eastAsia="Arial" w:hAnsi="Arial"/>
                <w:color w:val="1E293B"/>
                <w:sz w:val="20"/>
                <w:szCs w:val="20"/>
              </w:rPr>
              <w:t xml:space="preserve">    - Use Critical urgency for a very small value (abuse prevention)</w:t>
            </w:r>
          </w:p>
        </w:tc>
      </w:tr>
      <w:tr>
        <w:tc>
          <w:tcPr>
            <w:tcW w:type="dxa" w:w="9360"/>
            <w:tcBorders>
              <w:top w:val="none" w:color="FFFFFF" w:sz="0"/>
              <w:left w:val="none" w:color="FFFFFF" w:sz="0"/>
              <w:bottom w:val="none" w:color="FFFFFF" w:sz="0"/>
              <w:right w:val="none" w:color="FFFFFF" w:sz="0"/>
            </w:tcBorders>
            <w:shd w:fill="FFE4E0" w:val="clear"/>
            <w:tcMar>
              <w:top w:type="dxa" w:w="60"/>
              <w:left w:type="dxa" w:w="160"/>
              <w:bottom w:type="dxa" w:w="60"/>
              <w:right w:type="dxa" w:w="160"/>
            </w:tcMar>
          </w:tcPr>
          <w:p>
            <w:pPr>
              <w:spacing w:after="20" w:before="20"/>
            </w:pPr>
            <w:r>
              <w:rPr>
                <w:rFonts w:ascii="Arial" w:cs="Arial" w:eastAsia="Arial" w:hAnsi="Arial"/>
                <w:color w:val="1E293B"/>
                <w:sz w:val="20"/>
                <w:szCs w:val="20"/>
              </w:rPr>
              <w:t xml:space="preserve">    - Request exactly the standard limit (that is not a deviation)</w:t>
            </w:r>
          </w:p>
        </w:tc>
      </w:tr>
      <w:tr>
        <w:tc>
          <w:tcPr>
            <w:tcW w:type="dxa" w:w="9360"/>
            <w:tcBorders>
              <w:top w:val="none" w:color="FFFFFF" w:sz="0"/>
              <w:left w:val="none" w:color="FFFFFF" w:sz="0"/>
              <w:bottom w:val="none" w:color="FFFFFF" w:sz="0"/>
              <w:right w:val="none" w:color="FFFFFF" w:sz="0"/>
            </w:tcBorders>
            <w:shd w:fill="FFE4E0" w:val="clear"/>
            <w:tcMar>
              <w:top w:type="dxa" w:w="60"/>
              <w:left w:type="dxa" w:w="160"/>
              <w:bottom w:type="dxa" w:w="60"/>
              <w:right w:type="dxa" w:w="160"/>
            </w:tcMar>
          </w:tcPr>
          <w:p>
            <w:pPr>
              <w:spacing w:after="20" w:before="20"/>
            </w:pPr>
            <w:r>
              <w:rPr>
                <w:rFonts w:ascii="Arial" w:cs="Arial" w:eastAsia="Arial" w:hAnsi="Arial"/>
                <w:color w:val="1E293B"/>
                <w:sz w:val="20"/>
                <w:szCs w:val="20"/>
              </w:rPr>
              <w:t xml:space="preserve">    - Are missing a scope description or customer name</w:t>
            </w:r>
          </w:p>
        </w:tc>
      </w:tr>
    </w:tbl>
    <w:p>
      <w:pPr>
        <w:spacing w:after="60" w:before="60"/>
      </w:pPr>
      <w:r>
        <w:t xml:space="preserve"/>
      </w:r>
    </w:p>
    <w:p>
      <w:pPr>
        <w:spacing w:after="80" w:before="60"/>
      </w:pPr>
      <w:r>
        <w:rPr>
          <w:rFonts w:ascii="Arial" w:cs="Arial" w:eastAsia="Arial" w:hAnsi="Arial"/>
          <w:color w:val="1E293B"/>
          <w:sz w:val="22"/>
          <w:szCs w:val="22"/>
        </w:rPr>
        <w:t xml:space="preserve">Click Generate AI Justification to proceed to Step 2. The system will validate your input, create the deviation record, and run the AI analysis.</w:t>
      </w:r>
    </w:p>
    <w:p>
      <w:pPr>
        <w:spacing w:after="60" w:before="60"/>
      </w:pPr>
      <w:r>
        <w:t xml:space="preserve"/>
      </w:r>
    </w:p>
    <w:p>
      <w:pPr>
        <w:pStyle w:val="Heading3"/>
        <w:spacing w:after="80" w:before="200"/>
      </w:pPr>
      <w:r>
        <w:rPr>
          <w:rFonts w:ascii="Arial" w:cs="Arial" w:eastAsia="Arial" w:hAnsi="Arial"/>
          <w:b/>
          <w:bCs/>
          <w:color w:val="1E293B"/>
          <w:sz w:val="24"/>
          <w:szCs w:val="24"/>
        </w:rPr>
        <w:t xml:space="preserve">Step 2 — AI Justification</w:t>
      </w:r>
    </w:p>
    <w:p>
      <w:pPr>
        <w:spacing w:after="80" w:before="60"/>
      </w:pPr>
      <w:r>
        <w:rPr>
          <w:rFonts w:ascii="Arial" w:cs="Arial" w:eastAsia="Arial" w:hAnsi="Arial"/>
          <w:color w:val="1E293B"/>
          <w:sz w:val="22"/>
          <w:szCs w:val="22"/>
        </w:rPr>
        <w:t xml:space="preserve">The AI Justification Assistant displays the automatically generated compliance justification. This was created by the Justification Agent which:</w:t>
      </w:r>
    </w:p>
    <w:p>
      <w:pPr>
        <w:pStyle w:val="ListParagraph"/>
        <w:numPr>
          <w:ilvl w:val="0"/>
          <w:numId w:val="3"/>
        </w:numPr>
        <w:spacing w:after="40" w:before="40"/>
      </w:pPr>
      <w:r>
        <w:rPr>
          <w:rFonts w:ascii="Arial" w:cs="Arial" w:eastAsia="Arial" w:hAnsi="Arial"/>
          <w:color w:val="1E293B"/>
          <w:sz w:val="22"/>
          <w:szCs w:val="22"/>
        </w:rPr>
        <w:t xml:space="preserve">Retrieved relevant internal policy clauses from the ChromaDB vector store that match your deviation context</w:t>
      </w:r>
    </w:p>
    <w:p>
      <w:pPr>
        <w:pStyle w:val="ListParagraph"/>
        <w:numPr>
          <w:ilvl w:val="0"/>
          <w:numId w:val="3"/>
        </w:numPr>
        <w:spacing w:after="40" w:before="40"/>
      </w:pPr>
      <w:r>
        <w:rPr>
          <w:rFonts w:ascii="Arial" w:cs="Arial" w:eastAsia="Arial" w:hAnsi="Arial"/>
          <w:color w:val="1E293B"/>
          <w:sz w:val="22"/>
          <w:szCs w:val="22"/>
        </w:rPr>
        <w:t xml:space="preserve">Sent those policy clauses plus your deviation details to GPT-4.1</w:t>
      </w:r>
    </w:p>
    <w:p>
      <w:pPr>
        <w:pStyle w:val="ListParagraph"/>
        <w:numPr>
          <w:ilvl w:val="0"/>
          <w:numId w:val="3"/>
        </w:numPr>
        <w:spacing w:after="40" w:before="40"/>
      </w:pPr>
      <w:r>
        <w:rPr>
          <w:rFonts w:ascii="Arial" w:cs="Arial" w:eastAsia="Arial" w:hAnsi="Arial"/>
          <w:color w:val="1E293B"/>
          <w:sz w:val="22"/>
          <w:szCs w:val="22"/>
        </w:rPr>
        <w:t xml:space="preserve">Generated a 3-paragraph formal business justification referencing real policy clause numbers</w:t>
      </w:r>
    </w:p>
    <w:p>
      <w:pPr>
        <w:spacing w:after="60" w:before="60"/>
      </w:pPr>
      <w:r>
        <w:t xml:space="preserve"/>
      </w:r>
    </w:p>
    <w:p>
      <w:pPr>
        <w:pStyle w:val="ListParagraph"/>
        <w:numPr>
          <w:ilvl w:val="0"/>
          <w:numId w:val="2"/>
        </w:numPr>
        <w:spacing w:after="40" w:before="40"/>
      </w:pPr>
      <w:r>
        <w:rPr>
          <w:rFonts w:ascii="Arial" w:cs="Arial" w:eastAsia="Arial" w:hAnsi="Arial"/>
          <w:color w:val="1E293B"/>
          <w:sz w:val="22"/>
          <w:szCs w:val="22"/>
        </w:rPr>
        <w:t xml:space="preserve">The justification text is editable — you can refine the wording before submitting</w:t>
      </w:r>
    </w:p>
    <w:p>
      <w:pPr>
        <w:pStyle w:val="ListParagraph"/>
        <w:numPr>
          <w:ilvl w:val="0"/>
          <w:numId w:val="2"/>
        </w:numPr>
        <w:spacing w:after="40" w:before="40"/>
      </w:pPr>
      <w:r>
        <w:rPr>
          <w:rFonts w:ascii="Arial" w:cs="Arial" w:eastAsia="Arial" w:hAnsi="Arial"/>
          <w:color w:val="1E293B"/>
          <w:sz w:val="22"/>
          <w:szCs w:val="22"/>
        </w:rPr>
        <w:t xml:space="preserve">Policy References shows the specific clauses cited (e.g. SLA §7.2, FIN-POL-422 §1.3)</w:t>
      </w:r>
    </w:p>
    <w:p>
      <w:pPr>
        <w:pStyle w:val="ListParagraph"/>
        <w:numPr>
          <w:ilvl w:val="0"/>
          <w:numId w:val="2"/>
        </w:numPr>
        <w:spacing w:after="40" w:before="40"/>
      </w:pPr>
      <w:r>
        <w:rPr>
          <w:rFonts w:ascii="Arial" w:cs="Arial" w:eastAsia="Arial" w:hAnsi="Arial"/>
          <w:color w:val="1E293B"/>
          <w:sz w:val="22"/>
          <w:szCs w:val="22"/>
        </w:rPr>
        <w:t xml:space="preserve">The Risk Level badge shows Low, Medium, or High based on how far the request exceeds standard limits</w:t>
      </w:r>
    </w:p>
    <w:p>
      <w:pPr>
        <w:spacing w:after="60" w:before="60"/>
      </w:pPr>
      <w:r>
        <w:t xml:space="preserve"/>
      </w:r>
    </w:p>
    <w:tbl>
      <w:tblPr>
        <w:tblW w:type="dxa" w:w="9360"/>
        <w:tblBorders>
          <w:top w:val="single" w:color="D97706" w:sz="4"/>
          <w:left w:val="single" w:color="D97706" w:sz="4"/>
          <w:bottom w:val="single" w:color="D97706" w:sz="1"/>
          <w:right w:val="single" w:color="D97706"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60"/>
              <w:left w:type="dxa" w:w="160"/>
              <w:bottom w:type="dxa" w:w="60"/>
              <w:right w:type="dxa" w:w="160"/>
            </w:tcMar>
          </w:tcPr>
          <w:p>
            <w:pPr>
              <w:spacing w:after="20" w:before="20"/>
            </w:pPr>
            <w:r>
              <w:rPr>
                <w:rFonts w:ascii="Arial" w:cs="Arial" w:eastAsia="Arial" w:hAnsi="Arial"/>
                <w:color w:val="1E293B"/>
                <w:sz w:val="20"/>
                <w:szCs w:val="20"/>
              </w:rPr>
              <w:t xml:space="preserve">  IMPORTANT: The AI only cites policy clauses that were actually retrieved from the policy document store. It cannot invent clause numbers. If a clause appears incorrect, check the policy documents in backend/rag/data/.</w:t>
            </w:r>
          </w:p>
        </w:tc>
      </w:tr>
    </w:tbl>
    <w:p>
      <w:pPr>
        <w:spacing w:after="60" w:before="60"/>
      </w:pPr>
      <w:r>
        <w:t xml:space="preserve"/>
      </w:r>
    </w:p>
    <w:p>
      <w:pPr>
        <w:spacing w:after="80" w:before="60"/>
      </w:pPr>
      <w:r>
        <w:rPr>
          <w:rFonts w:ascii="Arial" w:cs="Arial" w:eastAsia="Arial" w:hAnsi="Arial"/>
          <w:color w:val="1E293B"/>
          <w:sz w:val="22"/>
          <w:szCs w:val="22"/>
        </w:rPr>
        <w:t xml:space="preserve">Click Submit for Approval to proceed to Step 3. This changes the deviation status from draft to in_review and creates the 4-step approval queue.</w:t>
      </w:r>
    </w:p>
    <w:p>
      <w:pPr>
        <w:spacing w:after="60" w:before="60"/>
      </w:pPr>
      <w:r>
        <w:t xml:space="preserve"/>
      </w:r>
    </w:p>
    <w:p>
      <w:pPr>
        <w:pStyle w:val="Heading3"/>
        <w:spacing w:after="80" w:before="200"/>
      </w:pPr>
      <w:r>
        <w:rPr>
          <w:rFonts w:ascii="Arial" w:cs="Arial" w:eastAsia="Arial" w:hAnsi="Arial"/>
          <w:b/>
          <w:bCs/>
          <w:color w:val="1E293B"/>
          <w:sz w:val="24"/>
          <w:szCs w:val="24"/>
        </w:rPr>
        <w:t xml:space="preserve">Step 3 — Submitted</w:t>
      </w:r>
    </w:p>
    <w:p>
      <w:pPr>
        <w:spacing w:after="80" w:before="60"/>
      </w:pPr>
      <w:r>
        <w:rPr>
          <w:rFonts w:ascii="Arial" w:cs="Arial" w:eastAsia="Arial" w:hAnsi="Arial"/>
          <w:color w:val="1E293B"/>
          <w:sz w:val="22"/>
          <w:szCs w:val="22"/>
        </w:rPr>
        <w:t xml:space="preserve">A confirmation screen shows the deviation ID and confirms that the approval queue has been created. Click Start Approval Workflow to navigate to the Review &amp; Approval screen and begin the first approval step.</w:t>
      </w:r>
    </w:p>
    <w:p>
      <w:pPr>
        <w:spacing w:after="60" w:before="60"/>
      </w:pPr>
      <w:r>
        <w:t xml:space="preserve"/>
      </w:r>
    </w:p>
    <w:p>
      <w:r>
        <w:br w:type="page"/>
      </w:r>
    </w:p>
    <w:p>
      <w:pPr>
        <w:pStyle w:val="Heading2"/>
        <w:spacing w:after="120" w:before="280"/>
      </w:pPr>
      <w:r>
        <w:rPr>
          <w:rFonts w:ascii="Arial" w:cs="Arial" w:eastAsia="Arial" w:hAnsi="Arial"/>
          <w:b/>
          <w:bCs/>
          <w:color w:val="0F5B4B"/>
          <w:sz w:val="26"/>
          <w:szCs w:val="26"/>
        </w:rPr>
        <w:t xml:space="preserve">3.3 Review &amp; Approval Screen</w:t>
      </w:r>
    </w:p>
    <w:p>
      <w:pPr>
        <w:spacing w:after="80" w:before="60"/>
      </w:pPr>
      <w:r>
        <w:rPr>
          <w:rFonts w:ascii="Arial" w:cs="Arial" w:eastAsia="Arial" w:hAnsi="Arial"/>
          <w:color w:val="1E293B"/>
          <w:sz w:val="22"/>
          <w:szCs w:val="22"/>
        </w:rPr>
        <w:t xml:space="preserve">This is the central workflow screen. It shows the sequential 4-step approval chain and allows authorised users to approve or reject each step.</w:t>
      </w:r>
    </w:p>
    <w:p>
      <w:pPr>
        <w:spacing w:after="60" w:before="60"/>
      </w:pPr>
      <w:r>
        <w:t xml:space="preserve"/>
      </w:r>
    </w:p>
    <w:p>
      <w:pPr>
        <w:pStyle w:val="Heading3"/>
        <w:spacing w:after="80" w:before="200"/>
      </w:pPr>
      <w:r>
        <w:rPr>
          <w:rFonts w:ascii="Arial" w:cs="Arial" w:eastAsia="Arial" w:hAnsi="Arial"/>
          <w:b/>
          <w:bCs/>
          <w:color w:val="1E293B"/>
          <w:sz w:val="24"/>
          <w:szCs w:val="24"/>
        </w:rPr>
        <w:t xml:space="preserve">3.3.1 Deviation Summary Banner</w:t>
      </w:r>
    </w:p>
    <w:p>
      <w:pPr>
        <w:spacing w:after="80" w:before="60"/>
      </w:pPr>
      <w:r>
        <w:rPr>
          <w:rFonts w:ascii="Arial" w:cs="Arial" w:eastAsia="Arial" w:hAnsi="Arial"/>
          <w:color w:val="1E293B"/>
          <w:sz w:val="22"/>
          <w:szCs w:val="22"/>
        </w:rPr>
        <w:t xml:space="preserve">At the top of the screen, the selected deviation's key details are displayed: ID, status, customer, type, value, and urgency. The AI-generated justification and policy references appear in the blue AI Justification bubble.</w:t>
      </w:r>
    </w:p>
    <w:p>
      <w:pPr>
        <w:spacing w:after="60" w:before="60"/>
      </w:pPr>
      <w:r>
        <w:t xml:space="preserve"/>
      </w:r>
    </w:p>
    <w:p>
      <w:pPr>
        <w:spacing w:after="80" w:before="60"/>
      </w:pPr>
      <w:r>
        <w:rPr>
          <w:rFonts w:ascii="Arial" w:cs="Arial" w:eastAsia="Arial" w:hAnsi="Arial"/>
          <w:color w:val="1E293B"/>
          <w:sz w:val="22"/>
          <w:szCs w:val="22"/>
        </w:rPr>
        <w:t xml:space="preserve">If the deviation is in in_review status and no workflow has been started yet, a Start Workflow button appears. Click this to initialise the LangGraph workflow and receive the first AI recommendation.</w:t>
      </w:r>
    </w:p>
    <w:p>
      <w:pPr>
        <w:spacing w:after="60" w:before="60"/>
      </w:pPr>
      <w:r>
        <w:t xml:space="preserve"/>
      </w:r>
    </w:p>
    <w:p>
      <w:pPr>
        <w:pStyle w:val="Heading3"/>
        <w:spacing w:after="80" w:before="200"/>
      </w:pPr>
      <w:r>
        <w:rPr>
          <w:rFonts w:ascii="Arial" w:cs="Arial" w:eastAsia="Arial" w:hAnsi="Arial"/>
          <w:b/>
          <w:bCs/>
          <w:color w:val="1E293B"/>
          <w:sz w:val="24"/>
          <w:szCs w:val="24"/>
        </w:rPr>
        <w:t xml:space="preserve">3.3.2 The Sequential Approval Steps</w:t>
      </w:r>
    </w:p>
    <w:p>
      <w:pPr>
        <w:spacing w:after="80" w:before="60"/>
      </w:pPr>
      <w:r>
        <w:rPr>
          <w:rFonts w:ascii="Arial" w:cs="Arial" w:eastAsia="Arial" w:hAnsi="Arial"/>
          <w:color w:val="1E293B"/>
          <w:sz w:val="22"/>
          <w:szCs w:val="22"/>
        </w:rPr>
        <w:t xml:space="preserve">The approval chain always runs in this fixed order: Operations → Finance → Network → Compliance. Each step is displayed as a card with a coloured left border:</w:t>
      </w:r>
    </w:p>
    <w:p>
      <w:pPr>
        <w:pStyle w:val="ListParagraph"/>
        <w:numPr>
          <w:ilvl w:val="0"/>
          <w:numId w:val="2"/>
        </w:numPr>
        <w:spacing w:after="40" w:before="40"/>
      </w:pPr>
      <w:r>
        <w:rPr>
          <w:rFonts w:ascii="Arial" w:cs="Arial" w:eastAsia="Arial" w:hAnsi="Arial"/>
          <w:color w:val="1E293B"/>
          <w:sz w:val="22"/>
          <w:szCs w:val="22"/>
        </w:rPr>
        <w:t xml:space="preserve">Grey border — step is waiting (not yet active)</w:t>
      </w:r>
    </w:p>
    <w:p>
      <w:pPr>
        <w:pStyle w:val="ListParagraph"/>
        <w:numPr>
          <w:ilvl w:val="0"/>
          <w:numId w:val="2"/>
        </w:numPr>
        <w:spacing w:after="40" w:before="40"/>
      </w:pPr>
      <w:r>
        <w:rPr>
          <w:rFonts w:ascii="Arial" w:cs="Arial" w:eastAsia="Arial" w:hAnsi="Arial"/>
          <w:color w:val="1E293B"/>
          <w:sz w:val="22"/>
          <w:szCs w:val="22"/>
        </w:rPr>
        <w:t xml:space="preserve">Green border — step is active and pending approval</w:t>
      </w:r>
    </w:p>
    <w:p>
      <w:pPr>
        <w:pStyle w:val="ListParagraph"/>
        <w:numPr>
          <w:ilvl w:val="0"/>
          <w:numId w:val="2"/>
        </w:numPr>
        <w:spacing w:after="40" w:before="40"/>
      </w:pPr>
      <w:r>
        <w:rPr>
          <w:rFonts w:ascii="Arial" w:cs="Arial" w:eastAsia="Arial" w:hAnsi="Arial"/>
          <w:color w:val="1E293B"/>
          <w:sz w:val="22"/>
          <w:szCs w:val="22"/>
        </w:rPr>
        <w:t xml:space="preserve">Dark green border with tick — step has been approved</w:t>
      </w:r>
    </w:p>
    <w:p>
      <w:pPr>
        <w:pStyle w:val="ListParagraph"/>
        <w:numPr>
          <w:ilvl w:val="0"/>
          <w:numId w:val="2"/>
        </w:numPr>
        <w:spacing w:after="40" w:before="40"/>
      </w:pPr>
      <w:r>
        <w:rPr>
          <w:rFonts w:ascii="Arial" w:cs="Arial" w:eastAsia="Arial" w:hAnsi="Arial"/>
          <w:color w:val="1E293B"/>
          <w:sz w:val="22"/>
          <w:szCs w:val="22"/>
        </w:rPr>
        <w:t xml:space="preserve">Red border — step has been rejected (workflow ended)</w:t>
      </w:r>
    </w:p>
    <w:p>
      <w:pPr>
        <w:spacing w:after="60" w:before="60"/>
      </w:pPr>
      <w:r>
        <w:t xml:space="preserve"/>
      </w:r>
    </w:p>
    <w:p>
      <w:pPr>
        <w:spacing w:after="80" w:before="60"/>
      </w:pPr>
      <w:r>
        <w:rPr>
          <w:rFonts w:ascii="Arial" w:cs="Arial" w:eastAsia="Arial" w:hAnsi="Arial"/>
          <w:color w:val="1E293B"/>
          <w:sz w:val="22"/>
          <w:szCs w:val="22"/>
        </w:rPr>
        <w:t xml:space="preserve">For each active (pending) step:</w:t>
      </w:r>
    </w:p>
    <w:p>
      <w:pPr>
        <w:pStyle w:val="ListParagraph"/>
        <w:numPr>
          <w:ilvl w:val="0"/>
          <w:numId w:val="2"/>
        </w:numPr>
        <w:spacing w:after="40" w:before="40"/>
      </w:pPr>
      <w:r>
        <w:rPr>
          <w:rFonts w:ascii="Arial" w:cs="Arial" w:eastAsia="Arial" w:hAnsi="Arial"/>
          <w:color w:val="1E293B"/>
          <w:sz w:val="22"/>
          <w:szCs w:val="22"/>
        </w:rPr>
        <w:t xml:space="preserve">The AI Recommendation bubble shows the Advisor Agent's role-specific suggestion, ending with an explicit Approve / Reject / Escalate verdict</w:t>
      </w:r>
    </w:p>
    <w:p>
      <w:pPr>
        <w:pStyle w:val="ListParagraph"/>
        <w:numPr>
          <w:ilvl w:val="0"/>
          <w:numId w:val="2"/>
        </w:numPr>
        <w:spacing w:after="40" w:before="40"/>
      </w:pPr>
      <w:r>
        <w:rPr>
          <w:rFonts w:ascii="Arial" w:cs="Arial" w:eastAsia="Arial" w:hAnsi="Arial"/>
          <w:color w:val="1E293B"/>
          <w:sz w:val="22"/>
          <w:szCs w:val="22"/>
        </w:rPr>
        <w:t xml:space="preserve">The comment box lets you enter a note before approving or rejecting</w:t>
      </w:r>
    </w:p>
    <w:p>
      <w:pPr>
        <w:pStyle w:val="ListParagraph"/>
        <w:numPr>
          <w:ilvl w:val="0"/>
          <w:numId w:val="2"/>
        </w:numPr>
        <w:spacing w:after="40" w:before="40"/>
      </w:pPr>
      <w:r>
        <w:rPr>
          <w:rFonts w:ascii="Arial" w:cs="Arial" w:eastAsia="Arial" w:hAnsi="Arial"/>
          <w:color w:val="1E293B"/>
          <w:sz w:val="22"/>
          <w:szCs w:val="22"/>
        </w:rPr>
        <w:t xml:space="preserve">The Approve and Reject buttons are enabled only for users whose role matches that step — or for Senior Approvers</w:t>
      </w:r>
    </w:p>
    <w:p>
      <w:pPr>
        <w:spacing w:after="60" w:before="60"/>
      </w:pPr>
      <w:r>
        <w:t xml:space="preserve"/>
      </w:r>
    </w:p>
    <w:tbl>
      <w:tblPr>
        <w:tblW w:type="dxa" w:w="9360"/>
        <w:tblBorders>
          <w:top w:val="single" w:color="D97706" w:sz="4"/>
          <w:left w:val="single" w:color="D97706" w:sz="4"/>
          <w:bottom w:val="single" w:color="D97706" w:sz="1"/>
          <w:right w:val="single" w:color="D97706"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60"/>
              <w:left w:type="dxa" w:w="160"/>
              <w:bottom w:type="dxa" w:w="60"/>
              <w:right w:type="dxa" w:w="160"/>
            </w:tcMar>
          </w:tcPr>
          <w:p>
            <w:pPr>
              <w:spacing w:after="20" w:before="20"/>
            </w:pPr>
            <w:r>
              <w:rPr>
                <w:rFonts w:ascii="Arial" w:cs="Arial" w:eastAsia="Arial" w:hAnsi="Arial"/>
                <w:color w:val="1E293B"/>
                <w:sz w:val="20"/>
                <w:szCs w:val="20"/>
              </w:rPr>
              <w:t xml:space="preserve">  TIP: If the Approve and Reject buttons are greyed out, it means your current role does not match</w:t>
            </w:r>
          </w:p>
        </w:tc>
      </w:tr>
      <w:tr>
        <w:tc>
          <w:tcPr>
            <w:tcW w:type="dxa" w:w="9360"/>
            <w:tcBorders>
              <w:top w:val="none" w:color="FFFFFF" w:sz="0"/>
              <w:left w:val="none" w:color="FFFFFF" w:sz="0"/>
              <w:bottom w:val="none" w:color="FFFFFF" w:sz="0"/>
              <w:right w:val="none" w:color="FFFFFF" w:sz="0"/>
            </w:tcBorders>
            <w:shd w:fill="FEF3C7" w:val="clear"/>
            <w:tcMar>
              <w:top w:type="dxa" w:w="60"/>
              <w:left w:type="dxa" w:w="160"/>
              <w:bottom w:type="dxa" w:w="60"/>
              <w:right w:type="dxa" w:w="160"/>
            </w:tcMar>
          </w:tcPr>
          <w:p>
            <w:pPr>
              <w:spacing w:after="20" w:before="20"/>
            </w:pPr>
            <w:r>
              <w:rPr>
                <w:rFonts w:ascii="Arial" w:cs="Arial" w:eastAsia="Arial" w:hAnsi="Arial"/>
                <w:color w:val="1E293B"/>
                <w:sz w:val="20"/>
                <w:szCs w:val="20"/>
              </w:rPr>
              <w:t xml:space="preserve">  the role required for this step. Use the Role Switcher in the top bar to switch to the</w:t>
            </w:r>
          </w:p>
        </w:tc>
      </w:tr>
      <w:tr>
        <w:tc>
          <w:tcPr>
            <w:tcW w:type="dxa" w:w="9360"/>
            <w:tcBorders>
              <w:top w:val="none" w:color="FFFFFF" w:sz="0"/>
              <w:left w:val="none" w:color="FFFFFF" w:sz="0"/>
              <w:bottom w:val="none" w:color="FFFFFF" w:sz="0"/>
              <w:right w:val="none" w:color="FFFFFF" w:sz="0"/>
            </w:tcBorders>
            <w:shd w:fill="FEF3C7" w:val="clear"/>
            <w:tcMar>
              <w:top w:type="dxa" w:w="60"/>
              <w:left w:type="dxa" w:w="160"/>
              <w:bottom w:type="dxa" w:w="60"/>
              <w:right w:type="dxa" w:w="160"/>
            </w:tcMar>
          </w:tcPr>
          <w:p>
            <w:pPr>
              <w:spacing w:after="20" w:before="20"/>
            </w:pPr>
            <w:r>
              <w:rPr>
                <w:rFonts w:ascii="Arial" w:cs="Arial" w:eastAsia="Arial" w:hAnsi="Arial"/>
                <w:color w:val="1E293B"/>
                <w:sz w:val="20"/>
                <w:szCs w:val="20"/>
              </w:rPr>
              <w:t xml:space="preserve">  correct role. Example: to approve the Finance step, switch to Finance Team.</w:t>
            </w:r>
          </w:p>
        </w:tc>
      </w:tr>
    </w:tbl>
    <w:p>
      <w:pPr>
        <w:spacing w:after="60" w:before="60"/>
      </w:pPr>
      <w:r>
        <w:t xml:space="preserve"/>
      </w:r>
    </w:p>
    <w:tbl>
      <w:tblPr>
        <w:tblW w:type="dxa" w:w="9360"/>
        <w:tblBorders>
          <w:top w:val="single" w:color="B91C1C" w:sz="4"/>
          <w:left w:val="single" w:color="B91C1C" w:sz="4"/>
          <w:bottom w:val="single" w:color="B91C1C" w:sz="1"/>
          <w:right w:val="single" w:color="B91C1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4E0" w:val="clear"/>
            <w:tcMar>
              <w:top w:type="dxa" w:w="60"/>
              <w:left w:type="dxa" w:w="160"/>
              <w:bottom w:type="dxa" w:w="60"/>
              <w:right w:type="dxa" w:w="160"/>
            </w:tcMar>
          </w:tcPr>
          <w:p>
            <w:pPr>
              <w:spacing w:after="20" w:before="20"/>
            </w:pPr>
            <w:r>
              <w:rPr>
                <w:rFonts w:ascii="Arial" w:cs="Arial" w:eastAsia="Arial" w:hAnsi="Arial"/>
                <w:color w:val="1E293B"/>
                <w:sz w:val="20"/>
                <w:szCs w:val="20"/>
              </w:rPr>
              <w:t xml:space="preserve">  RULE: Rejection requires a comment. The comment field must be filled before the Reject button</w:t>
            </w:r>
          </w:p>
        </w:tc>
      </w:tr>
      <w:tr>
        <w:tc>
          <w:tcPr>
            <w:tcW w:type="dxa" w:w="9360"/>
            <w:tcBorders>
              <w:top w:val="none" w:color="FFFFFF" w:sz="0"/>
              <w:left w:val="none" w:color="FFFFFF" w:sz="0"/>
              <w:bottom w:val="none" w:color="FFFFFF" w:sz="0"/>
              <w:right w:val="none" w:color="FFFFFF" w:sz="0"/>
            </w:tcBorders>
            <w:shd w:fill="FFE4E0" w:val="clear"/>
            <w:tcMar>
              <w:top w:type="dxa" w:w="60"/>
              <w:left w:type="dxa" w:w="160"/>
              <w:bottom w:type="dxa" w:w="60"/>
              <w:right w:type="dxa" w:w="160"/>
            </w:tcMar>
          </w:tcPr>
          <w:p>
            <w:pPr>
              <w:spacing w:after="20" w:before="20"/>
            </w:pPr>
            <w:r>
              <w:rPr>
                <w:rFonts w:ascii="Arial" w:cs="Arial" w:eastAsia="Arial" w:hAnsi="Arial"/>
                <w:color w:val="1E293B"/>
                <w:sz w:val="20"/>
                <w:szCs w:val="20"/>
              </w:rPr>
              <w:t xml:space="preserve">  will process the action. This is a mandatory compliance requirement.</w:t>
            </w:r>
          </w:p>
        </w:tc>
      </w:tr>
    </w:tbl>
    <w:p>
      <w:pPr>
        <w:spacing w:after="60" w:before="60"/>
      </w:pPr>
      <w:r>
        <w:t xml:space="preserve"/>
      </w:r>
    </w:p>
    <w:p>
      <w:pPr>
        <w:pStyle w:val="Heading3"/>
        <w:spacing w:after="80" w:before="200"/>
      </w:pPr>
      <w:r>
        <w:rPr>
          <w:rFonts w:ascii="Arial" w:cs="Arial" w:eastAsia="Arial" w:hAnsi="Arial"/>
          <w:b/>
          <w:bCs/>
          <w:color w:val="1E293B"/>
          <w:sz w:val="24"/>
          <w:szCs w:val="24"/>
        </w:rPr>
        <w:t xml:space="preserve">3.3.3 Compliance Checklist</w:t>
      </w:r>
    </w:p>
    <w:p>
      <w:pPr>
        <w:spacing w:after="80" w:before="60"/>
      </w:pPr>
      <w:r>
        <w:rPr>
          <w:rFonts w:ascii="Arial" w:cs="Arial" w:eastAsia="Arial" w:hAnsi="Arial"/>
          <w:color w:val="1E293B"/>
          <w:sz w:val="22"/>
          <w:szCs w:val="22"/>
        </w:rPr>
        <w:t xml:space="preserve">The right panel shows a checklist of compliance requirements. Green ticks indicate satisfied items:</w:t>
      </w:r>
    </w:p>
    <w:p>
      <w:pPr>
        <w:pStyle w:val="ListParagraph"/>
        <w:numPr>
          <w:ilvl w:val="0"/>
          <w:numId w:val="2"/>
        </w:numPr>
        <w:spacing w:after="40" w:before="40"/>
      </w:pPr>
      <w:r>
        <w:rPr>
          <w:rFonts w:ascii="Arial" w:cs="Arial" w:eastAsia="Arial" w:hAnsi="Arial"/>
          <w:color w:val="1E293B"/>
          <w:sz w:val="22"/>
          <w:szCs w:val="22"/>
        </w:rPr>
        <w:t xml:space="preserve">Business justification documented — passes when AI justification has been generated</w:t>
      </w:r>
    </w:p>
    <w:p>
      <w:pPr>
        <w:pStyle w:val="ListParagraph"/>
        <w:numPr>
          <w:ilvl w:val="0"/>
          <w:numId w:val="2"/>
        </w:numPr>
        <w:spacing w:after="40" w:before="40"/>
      </w:pPr>
      <w:r>
        <w:rPr>
          <w:rFonts w:ascii="Arial" w:cs="Arial" w:eastAsia="Arial" w:hAnsi="Arial"/>
          <w:color w:val="1E293B"/>
          <w:sz w:val="22"/>
          <w:szCs w:val="22"/>
        </w:rPr>
        <w:t xml:space="preserve">Policy clauses referenced — passes when policy_refs are present on the deviation</w:t>
      </w:r>
    </w:p>
    <w:p>
      <w:pPr>
        <w:pStyle w:val="ListParagraph"/>
        <w:numPr>
          <w:ilvl w:val="0"/>
          <w:numId w:val="2"/>
        </w:numPr>
        <w:spacing w:after="40" w:before="40"/>
      </w:pPr>
      <w:r>
        <w:rPr>
          <w:rFonts w:ascii="Arial" w:cs="Arial" w:eastAsia="Arial" w:hAnsi="Arial"/>
          <w:color w:val="1E293B"/>
          <w:sz w:val="22"/>
          <w:szCs w:val="22"/>
        </w:rPr>
        <w:t xml:space="preserve">Multi-level approval enforced — passes when all 4 approval steps have been created</w:t>
      </w:r>
    </w:p>
    <w:p>
      <w:pPr>
        <w:pStyle w:val="ListParagraph"/>
        <w:numPr>
          <w:ilvl w:val="0"/>
          <w:numId w:val="2"/>
        </w:numPr>
        <w:spacing w:after="40" w:before="40"/>
      </w:pPr>
      <w:r>
        <w:rPr>
          <w:rFonts w:ascii="Arial" w:cs="Arial" w:eastAsia="Arial" w:hAnsi="Arial"/>
          <w:color w:val="1E293B"/>
          <w:sz w:val="22"/>
          <w:szCs w:val="22"/>
        </w:rPr>
        <w:t xml:space="preserve">Audit trail active — always passes once the deviation has been submitted</w:t>
      </w:r>
    </w:p>
    <w:p>
      <w:pPr>
        <w:spacing w:after="60" w:before="60"/>
      </w:pPr>
      <w:r>
        <w:t xml:space="preserve"/>
      </w:r>
    </w:p>
    <w:p>
      <w:pPr>
        <w:pStyle w:val="Heading3"/>
        <w:spacing w:after="80" w:before="200"/>
      </w:pPr>
      <w:r>
        <w:rPr>
          <w:rFonts w:ascii="Arial" w:cs="Arial" w:eastAsia="Arial" w:hAnsi="Arial"/>
          <w:b/>
          <w:bCs/>
          <w:color w:val="1E293B"/>
          <w:sz w:val="24"/>
          <w:szCs w:val="24"/>
        </w:rPr>
        <w:t xml:space="preserve">3.3.4 Policy Flag &amp; Risk Analysis</w:t>
      </w:r>
    </w:p>
    <w:p>
      <w:pPr>
        <w:spacing w:after="80" w:before="60"/>
      </w:pPr>
      <w:r>
        <w:rPr>
          <w:rFonts w:ascii="Arial" w:cs="Arial" w:eastAsia="Arial" w:hAnsi="Arial"/>
          <w:color w:val="1E293B"/>
          <w:sz w:val="22"/>
          <w:szCs w:val="22"/>
        </w:rPr>
        <w:t xml:space="preserve">Below the checklist, the Policy Flag panel shows a warning if the requested value exceeds the standard limit, confirms that the approval chain is being enforced, and displays the policy references from the AI analysis.</w:t>
      </w:r>
    </w:p>
    <w:p>
      <w:pPr>
        <w:spacing w:after="60" w:before="60"/>
      </w:pPr>
      <w:r>
        <w:t xml:space="preserve"/>
      </w:r>
    </w:p>
    <w:p>
      <w:pPr>
        <w:pStyle w:val="Heading3"/>
        <w:spacing w:after="80" w:before="200"/>
      </w:pPr>
      <w:r>
        <w:rPr>
          <w:rFonts w:ascii="Arial" w:cs="Arial" w:eastAsia="Arial" w:hAnsi="Arial"/>
          <w:b/>
          <w:bCs/>
          <w:color w:val="1E293B"/>
          <w:sz w:val="24"/>
          <w:szCs w:val="24"/>
        </w:rPr>
        <w:t xml:space="preserve">Complete Approval Walkthrough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872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20"/>
            </w:tcMar>
          </w:tcPr>
          <w:p>
            <w:r>
              <w:rPr>
                <w:rFonts w:ascii="Arial" w:cs="Arial" w:eastAsia="Arial" w:hAnsi="Arial"/>
                <w:color w:val="1E293B"/>
                <w:sz w:val="22"/>
                <w:szCs w:val="22"/>
              </w:rPr>
              <w:t xml:space="preserve">Switch role to Operations Manager using the top-bar Role Switcher</w:t>
            </w:r>
          </w:p>
        </w:tc>
      </w:tr>
      <w:tr>
        <w:tc>
          <w:tcPr>
            <w:tcW w:type="dxa" w:w="640"/>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872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2"/>
                <w:szCs w:val="22"/>
              </w:rPr>
              <w:t xml:space="preserve">Open a submitted deviation from the Dashboard or enter the deviation ID</w:t>
            </w:r>
          </w:p>
        </w:tc>
      </w:tr>
      <w:tr>
        <w:tc>
          <w:tcPr>
            <w:tcW w:type="dxa" w:w="640"/>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872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20"/>
            </w:tcMar>
          </w:tcPr>
          <w:p>
            <w:r>
              <w:rPr>
                <w:rFonts w:ascii="Arial" w:cs="Arial" w:eastAsia="Arial" w:hAnsi="Arial"/>
                <w:color w:val="1E293B"/>
                <w:sz w:val="22"/>
                <w:szCs w:val="22"/>
              </w:rPr>
              <w:t xml:space="preserve">If the workflow has not started, click Start Workflow</w:t>
            </w:r>
          </w:p>
        </w:tc>
      </w:tr>
      <w:tr>
        <w:tc>
          <w:tcPr>
            <w:tcW w:type="dxa" w:w="640"/>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872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2"/>
                <w:szCs w:val="22"/>
              </w:rPr>
              <w:t xml:space="preserve">Read the AI Recommendation in the Operations step card</w:t>
            </w:r>
          </w:p>
        </w:tc>
      </w:tr>
      <w:tr>
        <w:tc>
          <w:tcPr>
            <w:tcW w:type="dxa" w:w="640"/>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W w:type="dxa" w:w="872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20"/>
            </w:tcMar>
          </w:tcPr>
          <w:p>
            <w:r>
              <w:rPr>
                <w:rFonts w:ascii="Arial" w:cs="Arial" w:eastAsia="Arial" w:hAnsi="Arial"/>
                <w:color w:val="1E293B"/>
                <w:sz w:val="22"/>
                <w:szCs w:val="22"/>
              </w:rPr>
              <w:t xml:space="preserve">Enter a comment in the text box (optional for approval, mandatory for rejection)</w:t>
            </w:r>
          </w:p>
        </w:tc>
      </w:tr>
      <w:tr>
        <w:tc>
          <w:tcPr>
            <w:tcW w:type="dxa" w:w="640"/>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6</w:t>
            </w:r>
          </w:p>
        </w:tc>
        <w:tc>
          <w:tcPr>
            <w:tcW w:type="dxa" w:w="872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2"/>
                <w:szCs w:val="22"/>
              </w:rPr>
              <w:t xml:space="preserve">Click Approve — the step turns green, Finance step activates</w:t>
            </w:r>
          </w:p>
        </w:tc>
      </w:tr>
      <w:tr>
        <w:tc>
          <w:tcPr>
            <w:tcW w:type="dxa" w:w="640"/>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7</w:t>
            </w:r>
          </w:p>
        </w:tc>
        <w:tc>
          <w:tcPr>
            <w:tcW w:type="dxa" w:w="872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20"/>
            </w:tcMar>
          </w:tcPr>
          <w:p>
            <w:r>
              <w:rPr>
                <w:rFonts w:ascii="Arial" w:cs="Arial" w:eastAsia="Arial" w:hAnsi="Arial"/>
                <w:color w:val="1E293B"/>
                <w:sz w:val="22"/>
                <w:szCs w:val="22"/>
              </w:rPr>
              <w:t xml:space="preserve">Switch role to Finance Team</w:t>
            </w:r>
          </w:p>
        </w:tc>
      </w:tr>
      <w:tr>
        <w:tc>
          <w:tcPr>
            <w:tcW w:type="dxa" w:w="640"/>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8</w:t>
            </w:r>
          </w:p>
        </w:tc>
        <w:tc>
          <w:tcPr>
            <w:tcW w:type="dxa" w:w="872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2"/>
                <w:szCs w:val="22"/>
              </w:rPr>
              <w:t xml:space="preserve">Read the Finance AI Recommendation and enter a comment</w:t>
            </w:r>
          </w:p>
        </w:tc>
      </w:tr>
      <w:tr>
        <w:tc>
          <w:tcPr>
            <w:tcW w:type="dxa" w:w="640"/>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9</w:t>
            </w:r>
          </w:p>
        </w:tc>
        <w:tc>
          <w:tcPr>
            <w:tcW w:type="dxa" w:w="872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20"/>
            </w:tcMar>
          </w:tcPr>
          <w:p>
            <w:r>
              <w:rPr>
                <w:rFonts w:ascii="Arial" w:cs="Arial" w:eastAsia="Arial" w:hAnsi="Arial"/>
                <w:color w:val="1E293B"/>
                <w:sz w:val="22"/>
                <w:szCs w:val="22"/>
              </w:rPr>
              <w:t xml:space="preserve">Click Approve — Network step activates</w:t>
            </w:r>
          </w:p>
        </w:tc>
      </w:tr>
      <w:tr>
        <w:tc>
          <w:tcPr>
            <w:tcW w:type="dxa" w:w="640"/>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10</w:t>
            </w:r>
          </w:p>
        </w:tc>
        <w:tc>
          <w:tcPr>
            <w:tcW w:type="dxa" w:w="872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2"/>
                <w:szCs w:val="22"/>
              </w:rPr>
              <w:t xml:space="preserve">Switch role to Network Engineer, approve the Network step</w:t>
            </w:r>
          </w:p>
        </w:tc>
      </w:tr>
      <w:tr>
        <w:tc>
          <w:tcPr>
            <w:tcW w:type="dxa" w:w="640"/>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11</w:t>
            </w:r>
          </w:p>
        </w:tc>
        <w:tc>
          <w:tcPr>
            <w:tcW w:type="dxa" w:w="872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20"/>
            </w:tcMar>
          </w:tcPr>
          <w:p>
            <w:r>
              <w:rPr>
                <w:rFonts w:ascii="Arial" w:cs="Arial" w:eastAsia="Arial" w:hAnsi="Arial"/>
                <w:color w:val="1E293B"/>
                <w:sz w:val="22"/>
                <w:szCs w:val="22"/>
              </w:rPr>
              <w:t xml:space="preserve">Switch role to Compliance Officer, approve the final Compliance step</w:t>
            </w:r>
          </w:p>
        </w:tc>
      </w:tr>
      <w:tr>
        <w:tc>
          <w:tcPr>
            <w:tcW w:type="dxa" w:w="640"/>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12</w:t>
            </w:r>
          </w:p>
        </w:tc>
        <w:tc>
          <w:tcPr>
            <w:tcW w:type="dxa" w:w="872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2"/>
                <w:szCs w:val="22"/>
              </w:rPr>
              <w:t xml:space="preserve">A green success banner confirms the deviation is fully approved</w:t>
            </w:r>
          </w:p>
        </w:tc>
      </w:tr>
    </w:tbl>
    <w:p>
      <w:pPr>
        <w:spacing w:after="60" w:before="60"/>
      </w:pPr>
      <w:r>
        <w:t xml:space="preserve"/>
      </w:r>
    </w:p>
    <w:p>
      <w:r>
        <w:br w:type="page"/>
      </w:r>
    </w:p>
    <w:p>
      <w:pPr>
        <w:pStyle w:val="Heading2"/>
        <w:spacing w:after="120" w:before="280"/>
      </w:pPr>
      <w:r>
        <w:rPr>
          <w:rFonts w:ascii="Arial" w:cs="Arial" w:eastAsia="Arial" w:hAnsi="Arial"/>
          <w:b/>
          <w:bCs/>
          <w:color w:val="0F5B4B"/>
          <w:sz w:val="26"/>
          <w:szCs w:val="26"/>
        </w:rPr>
        <w:t xml:space="preserve">3.4 Execution &amp; Audit Screen</w:t>
      </w:r>
    </w:p>
    <w:p>
      <w:pPr>
        <w:spacing w:after="80" w:before="60"/>
      </w:pPr>
      <w:r>
        <w:rPr>
          <w:rFonts w:ascii="Arial" w:cs="Arial" w:eastAsia="Arial" w:hAnsi="Arial"/>
          <w:color w:val="1E293B"/>
          <w:sz w:val="22"/>
          <w:szCs w:val="22"/>
        </w:rPr>
        <w:t xml:space="preserve">This screen is used after a deviation has been approved or rejected. It provides the full audit trail, AI-generated compliance summary, and regulatory export capability.</w:t>
      </w:r>
    </w:p>
    <w:p>
      <w:pPr>
        <w:spacing w:after="60" w:before="60"/>
      </w:pPr>
      <w:r>
        <w:t xml:space="preserve"/>
      </w:r>
    </w:p>
    <w:p>
      <w:pPr>
        <w:pStyle w:val="Heading3"/>
        <w:spacing w:after="80" w:before="200"/>
      </w:pPr>
      <w:r>
        <w:rPr>
          <w:rFonts w:ascii="Arial" w:cs="Arial" w:eastAsia="Arial" w:hAnsi="Arial"/>
          <w:b/>
          <w:bCs/>
          <w:color w:val="1E293B"/>
          <w:sz w:val="24"/>
          <w:szCs w:val="24"/>
        </w:rPr>
        <w:t xml:space="preserve">3.4.1 Stakeholder Alert Preview</w:t>
      </w:r>
    </w:p>
    <w:p>
      <w:pPr>
        <w:spacing w:after="80" w:before="60"/>
      </w:pPr>
      <w:r>
        <w:rPr>
          <w:rFonts w:ascii="Arial" w:cs="Arial" w:eastAsia="Arial" w:hAnsi="Arial"/>
          <w:color w:val="1E293B"/>
          <w:sz w:val="22"/>
          <w:szCs w:val="22"/>
        </w:rPr>
        <w:t xml:space="preserve">The top card shows a preview of the notification that would be sent to stakeholders confirming the deviation outcome. This is informational — actual notification dispatch is handled by downstream systems.</w:t>
      </w:r>
    </w:p>
    <w:p>
      <w:pPr>
        <w:spacing w:after="60" w:before="60"/>
      </w:pPr>
      <w:r>
        <w:t xml:space="preserve"/>
      </w:r>
    </w:p>
    <w:p>
      <w:pPr>
        <w:pStyle w:val="Heading3"/>
        <w:spacing w:after="80" w:before="200"/>
      </w:pPr>
      <w:r>
        <w:rPr>
          <w:rFonts w:ascii="Arial" w:cs="Arial" w:eastAsia="Arial" w:hAnsi="Arial"/>
          <w:b/>
          <w:bCs/>
          <w:color w:val="1E293B"/>
          <w:sz w:val="24"/>
          <w:szCs w:val="24"/>
        </w:rPr>
        <w:t xml:space="preserve">3.4.2 AI Compliance Summary</w:t>
      </w:r>
    </w:p>
    <w:p>
      <w:pPr>
        <w:spacing w:after="80" w:before="60"/>
      </w:pPr>
      <w:r>
        <w:rPr>
          <w:rFonts w:ascii="Arial" w:cs="Arial" w:eastAsia="Arial" w:hAnsi="Arial"/>
          <w:color w:val="1E293B"/>
          <w:sz w:val="22"/>
          <w:szCs w:val="22"/>
        </w:rPr>
        <w:t xml:space="preserve">The AI Compliance Summary section displays the structured narrative generated by the Audit Summariser Agent. If not yet generated, click Generate AI Summary.</w:t>
      </w:r>
    </w:p>
    <w:p>
      <w:pPr>
        <w:spacing w:after="60" w:before="60"/>
      </w:pPr>
      <w:r>
        <w:t xml:space="preserve"/>
      </w:r>
    </w:p>
    <w:p>
      <w:pPr>
        <w:spacing w:after="80" w:before="60"/>
      </w:pPr>
      <w:r>
        <w:rPr>
          <w:rFonts w:ascii="Arial" w:cs="Arial" w:eastAsia="Arial" w:hAnsi="Arial"/>
          <w:color w:val="1E293B"/>
          <w:sz w:val="22"/>
          <w:szCs w:val="22"/>
        </w:rPr>
        <w:t xml:space="preserve">The summary contains six sections: Executive Summary, Deviation Details, Approval Chain Record, Compliance Assessment, Audit Trail Integrity, and Outcome and Disposition. It is formatted for direct submission to internal or external audit committees.</w:t>
      </w:r>
    </w:p>
    <w:p>
      <w:pPr>
        <w:spacing w:after="60" w:before="60"/>
      </w:pPr>
      <w:r>
        <w:t xml:space="preserve"/>
      </w:r>
    </w:p>
    <w:tbl>
      <w:tblPr>
        <w:tblW w:type="dxa" w:w="9360"/>
        <w:tblBorders>
          <w:top w:val="single" w:color="D97706" w:sz="4"/>
          <w:left w:val="single" w:color="D97706" w:sz="4"/>
          <w:bottom w:val="single" w:color="D97706" w:sz="1"/>
          <w:right w:val="single" w:color="D97706"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60"/>
              <w:left w:type="dxa" w:w="160"/>
              <w:bottom w:type="dxa" w:w="60"/>
              <w:right w:type="dxa" w:w="160"/>
            </w:tcMar>
          </w:tcPr>
          <w:p>
            <w:pPr>
              <w:spacing w:after="20" w:before="20"/>
            </w:pPr>
            <w:r>
              <w:rPr>
                <w:rFonts w:ascii="Arial" w:cs="Arial" w:eastAsia="Arial" w:hAnsi="Arial"/>
                <w:color w:val="1E293B"/>
                <w:sz w:val="20"/>
                <w:szCs w:val="20"/>
              </w:rPr>
              <w:t xml:space="preserve">  REQUIREMENT: The summary is generated from real audit log data. It cannot be generated for deviations that are still in_review. Complete the approval workflow first.</w:t>
            </w:r>
          </w:p>
        </w:tc>
      </w:tr>
    </w:tbl>
    <w:p>
      <w:pPr>
        <w:spacing w:after="60" w:before="60"/>
      </w:pPr>
      <w:r>
        <w:t xml:space="preserve"/>
      </w:r>
    </w:p>
    <w:p>
      <w:pPr>
        <w:pStyle w:val="Heading3"/>
        <w:spacing w:after="80" w:before="200"/>
      </w:pPr>
      <w:r>
        <w:rPr>
          <w:rFonts w:ascii="Arial" w:cs="Arial" w:eastAsia="Arial" w:hAnsi="Arial"/>
          <w:b/>
          <w:bCs/>
          <w:color w:val="1E293B"/>
          <w:sz w:val="24"/>
          <w:szCs w:val="24"/>
        </w:rPr>
        <w:t xml:space="preserve">3.4.3 Immutable Audit Log</w:t>
      </w:r>
    </w:p>
    <w:p>
      <w:pPr>
        <w:spacing w:after="80" w:before="60"/>
      </w:pPr>
      <w:r>
        <w:rPr>
          <w:rFonts w:ascii="Arial" w:cs="Arial" w:eastAsia="Arial" w:hAnsi="Arial"/>
          <w:color w:val="1E293B"/>
          <w:sz w:val="22"/>
          <w:szCs w:val="22"/>
        </w:rPr>
        <w:t xml:space="preserve">Every action taken in the system is recorded in the audit log — from deviation creation through every approval step to final execution. The log is:</w:t>
      </w:r>
    </w:p>
    <w:p>
      <w:pPr>
        <w:pStyle w:val="ListParagraph"/>
        <w:numPr>
          <w:ilvl w:val="0"/>
          <w:numId w:val="2"/>
        </w:numPr>
        <w:spacing w:after="40" w:before="40"/>
      </w:pPr>
      <w:r>
        <w:rPr>
          <w:rFonts w:ascii="Arial" w:cs="Arial" w:eastAsia="Arial" w:hAnsi="Arial"/>
          <w:color w:val="1E293B"/>
          <w:sz w:val="22"/>
          <w:szCs w:val="22"/>
        </w:rPr>
        <w:t xml:space="preserve">Ordered newest first — most recent actions appear at the top</w:t>
      </w:r>
    </w:p>
    <w:p>
      <w:pPr>
        <w:pStyle w:val="ListParagraph"/>
        <w:numPr>
          <w:ilvl w:val="0"/>
          <w:numId w:val="2"/>
        </w:numPr>
        <w:spacing w:after="40" w:before="40"/>
      </w:pPr>
      <w:r>
        <w:rPr>
          <w:rFonts w:ascii="Arial" w:cs="Arial" w:eastAsia="Arial" w:hAnsi="Arial"/>
          <w:color w:val="1E293B"/>
          <w:sz w:val="22"/>
          <w:szCs w:val="22"/>
        </w:rPr>
        <w:t xml:space="preserve">Filterable — type any keyword or actor name in the search box to filter entries</w:t>
      </w:r>
    </w:p>
    <w:p>
      <w:pPr>
        <w:pStyle w:val="ListParagraph"/>
        <w:numPr>
          <w:ilvl w:val="0"/>
          <w:numId w:val="2"/>
        </w:numPr>
        <w:spacing w:after="40" w:before="40"/>
      </w:pPr>
      <w:r>
        <w:rPr>
          <w:rFonts w:ascii="Arial" w:cs="Arial" w:eastAsia="Arial" w:hAnsi="Arial"/>
          <w:color w:val="1E293B"/>
          <w:sz w:val="22"/>
          <w:szCs w:val="22"/>
        </w:rPr>
        <w:t xml:space="preserve">Tamper-evident — a SHA-256 integrity hash is computed over all entries and included in the export</w:t>
      </w:r>
    </w:p>
    <w:p>
      <w:pPr>
        <w:spacing w:after="60" w:before="60"/>
      </w:pPr>
      <w:r>
        <w:t xml:space="preserve"/>
      </w:r>
    </w:p>
    <w:p>
      <w:pPr>
        <w:pStyle w:val="Heading3"/>
        <w:spacing w:after="80" w:before="200"/>
      </w:pPr>
      <w:r>
        <w:rPr>
          <w:rFonts w:ascii="Arial" w:cs="Arial" w:eastAsia="Arial" w:hAnsi="Arial"/>
          <w:b/>
          <w:bCs/>
          <w:color w:val="1E293B"/>
          <w:sz w:val="24"/>
          <w:szCs w:val="24"/>
        </w:rPr>
        <w:t xml:space="preserve">3.4.4 Regulatory Export</w:t>
      </w:r>
    </w:p>
    <w:p>
      <w:pPr>
        <w:spacing w:after="80" w:before="60"/>
      </w:pPr>
      <w:r>
        <w:rPr>
          <w:rFonts w:ascii="Arial" w:cs="Arial" w:eastAsia="Arial" w:hAnsi="Arial"/>
          <w:color w:val="1E293B"/>
          <w:sz w:val="22"/>
          <w:szCs w:val="22"/>
        </w:rPr>
        <w:t xml:space="preserve">The Export JSON (Full Regulatory Package) button downloads a complete JSON file containing:</w:t>
      </w:r>
    </w:p>
    <w:p>
      <w:pPr>
        <w:pStyle w:val="ListParagraph"/>
        <w:numPr>
          <w:ilvl w:val="0"/>
          <w:numId w:val="2"/>
        </w:numPr>
        <w:spacing w:after="40" w:before="40"/>
      </w:pPr>
      <w:r>
        <w:rPr>
          <w:rFonts w:ascii="Arial" w:cs="Arial" w:eastAsia="Arial" w:hAnsi="Arial"/>
          <w:color w:val="1E293B"/>
          <w:sz w:val="22"/>
          <w:szCs w:val="22"/>
        </w:rPr>
        <w:t xml:space="preserve">Export metadata — format version, timestamp, applicable regulations (FCC Part 64, CPUC TL-18965, GDPR Art.5)</w:t>
      </w:r>
    </w:p>
    <w:p>
      <w:pPr>
        <w:pStyle w:val="ListParagraph"/>
        <w:numPr>
          <w:ilvl w:val="0"/>
          <w:numId w:val="2"/>
        </w:numPr>
        <w:spacing w:after="40" w:before="40"/>
      </w:pPr>
      <w:r>
        <w:rPr>
          <w:rFonts w:ascii="Arial" w:cs="Arial" w:eastAsia="Arial" w:hAnsi="Arial"/>
          <w:color w:val="1E293B"/>
          <w:sz w:val="22"/>
          <w:szCs w:val="22"/>
        </w:rPr>
        <w:t xml:space="preserve">Full deviation record</w:t>
      </w:r>
    </w:p>
    <w:p>
      <w:pPr>
        <w:pStyle w:val="ListParagraph"/>
        <w:numPr>
          <w:ilvl w:val="0"/>
          <w:numId w:val="2"/>
        </w:numPr>
        <w:spacing w:after="40" w:before="40"/>
      </w:pPr>
      <w:r>
        <w:rPr>
          <w:rFonts w:ascii="Arial" w:cs="Arial" w:eastAsia="Arial" w:hAnsi="Arial"/>
          <w:color w:val="1E293B"/>
          <w:sz w:val="22"/>
          <w:szCs w:val="22"/>
        </w:rPr>
        <w:t xml:space="preserve">Complete approval chain with all timestamps and comments</w:t>
      </w:r>
    </w:p>
    <w:p>
      <w:pPr>
        <w:pStyle w:val="ListParagraph"/>
        <w:numPr>
          <w:ilvl w:val="0"/>
          <w:numId w:val="2"/>
        </w:numPr>
        <w:spacing w:after="40" w:before="40"/>
      </w:pPr>
      <w:r>
        <w:rPr>
          <w:rFonts w:ascii="Arial" w:cs="Arial" w:eastAsia="Arial" w:hAnsi="Arial"/>
          <w:color w:val="1E293B"/>
          <w:sz w:val="22"/>
          <w:szCs w:val="22"/>
        </w:rPr>
        <w:t xml:space="preserve">Every audit log entry</w:t>
      </w:r>
    </w:p>
    <w:p>
      <w:pPr>
        <w:pStyle w:val="ListParagraph"/>
        <w:numPr>
          <w:ilvl w:val="0"/>
          <w:numId w:val="2"/>
        </w:numPr>
        <w:spacing w:after="40" w:before="40"/>
      </w:pPr>
      <w:r>
        <w:rPr>
          <w:rFonts w:ascii="Arial" w:cs="Arial" w:eastAsia="Arial" w:hAnsi="Arial"/>
          <w:color w:val="1E293B"/>
          <w:sz w:val="22"/>
          <w:szCs w:val="22"/>
        </w:rPr>
        <w:t xml:space="preserve">The AI compliance summary</w:t>
      </w:r>
    </w:p>
    <w:p>
      <w:pPr>
        <w:pStyle w:val="ListParagraph"/>
        <w:numPr>
          <w:ilvl w:val="0"/>
          <w:numId w:val="2"/>
        </w:numPr>
        <w:spacing w:after="40" w:before="40"/>
      </w:pPr>
      <w:r>
        <w:rPr>
          <w:rFonts w:ascii="Arial" w:cs="Arial" w:eastAsia="Arial" w:hAnsi="Arial"/>
          <w:color w:val="1E293B"/>
          <w:sz w:val="22"/>
          <w:szCs w:val="22"/>
        </w:rPr>
        <w:t xml:space="preserve">A compliance checklist with pass/fail/warn status for each item</w:t>
      </w:r>
    </w:p>
    <w:p>
      <w:pPr>
        <w:pStyle w:val="ListParagraph"/>
        <w:numPr>
          <w:ilvl w:val="0"/>
          <w:numId w:val="2"/>
        </w:numPr>
        <w:spacing w:after="40" w:before="40"/>
      </w:pPr>
      <w:r>
        <w:rPr>
          <w:rFonts w:ascii="Arial" w:cs="Arial" w:eastAsia="Arial" w:hAnsi="Arial"/>
          <w:color w:val="1E293B"/>
          <w:sz w:val="22"/>
          <w:szCs w:val="22"/>
        </w:rPr>
        <w:t xml:space="preserve">A SHA-256 integrity hash for tamper verification</w:t>
      </w:r>
    </w:p>
    <w:p>
      <w:pPr>
        <w:spacing w:after="60" w:before="60"/>
      </w:pPr>
      <w:r>
        <w:t xml:space="preserve"/>
      </w:r>
    </w:p>
    <w:tbl>
      <w:tblPr>
        <w:tblW w:type="dxa" w:w="9360"/>
        <w:tblBorders>
          <w:top w:val="single" w:color="0F5B4B" w:sz="4"/>
          <w:left w:val="single" w:color="0F5B4B" w:sz="4"/>
          <w:bottom w:val="single" w:color="0F5B4B" w:sz="1"/>
          <w:right w:val="single" w:color="0F5B4B"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DF4" w:val="clear"/>
            <w:tcMar>
              <w:top w:type="dxa" w:w="60"/>
              <w:left w:type="dxa" w:w="160"/>
              <w:bottom w:type="dxa" w:w="60"/>
              <w:right w:type="dxa" w:w="160"/>
            </w:tcMar>
          </w:tcPr>
          <w:p>
            <w:pPr>
              <w:spacing w:after="20" w:before="20"/>
            </w:pPr>
            <w:r>
              <w:rPr>
                <w:rFonts w:ascii="Arial" w:cs="Arial" w:eastAsia="Arial" w:hAnsi="Arial"/>
                <w:color w:val="1E293B"/>
                <w:sz w:val="20"/>
                <w:szCs w:val="20"/>
              </w:rPr>
              <w:t xml:space="preserve">  COMPLIANCE: Save the exported JSON file as the official compliance record for this deviation.</w:t>
            </w:r>
          </w:p>
        </w:tc>
      </w:tr>
      <w:tr>
        <w:tc>
          <w:tcPr>
            <w:tcW w:type="dxa" w:w="9360"/>
            <w:tcBorders>
              <w:top w:val="none" w:color="FFFFFF" w:sz="0"/>
              <w:left w:val="none" w:color="FFFFFF" w:sz="0"/>
              <w:bottom w:val="none" w:color="FFFFFF" w:sz="0"/>
              <w:right w:val="none" w:color="FFFFFF" w:sz="0"/>
            </w:tcBorders>
            <w:shd w:fill="F0FDF4" w:val="clear"/>
            <w:tcMar>
              <w:top w:type="dxa" w:w="60"/>
              <w:left w:type="dxa" w:w="160"/>
              <w:bottom w:type="dxa" w:w="60"/>
              <w:right w:type="dxa" w:w="160"/>
            </w:tcMar>
          </w:tcPr>
          <w:p>
            <w:pPr>
              <w:spacing w:after="20" w:before="20"/>
            </w:pPr>
            <w:r>
              <w:rPr>
                <w:rFonts w:ascii="Arial" w:cs="Arial" w:eastAsia="Arial" w:hAnsi="Arial"/>
                <w:color w:val="1E293B"/>
                <w:sz w:val="20"/>
                <w:szCs w:val="20"/>
              </w:rPr>
              <w:t xml:space="preserve">  The file is named {deviation_id}_regulatory_export.json</w:t>
            </w:r>
          </w:p>
        </w:tc>
      </w:tr>
      <w:tr>
        <w:tc>
          <w:tcPr>
            <w:tcW w:type="dxa" w:w="9360"/>
            <w:tcBorders>
              <w:top w:val="none" w:color="FFFFFF" w:sz="0"/>
              <w:left w:val="none" w:color="FFFFFF" w:sz="0"/>
              <w:bottom w:val="none" w:color="FFFFFF" w:sz="0"/>
              <w:right w:val="none" w:color="FFFFFF" w:sz="0"/>
            </w:tcBorders>
            <w:shd w:fill="F0FDF4" w:val="clear"/>
            <w:tcMar>
              <w:top w:type="dxa" w:w="60"/>
              <w:left w:type="dxa" w:w="160"/>
              <w:bottom w:type="dxa" w:w="60"/>
              <w:right w:type="dxa" w:w="160"/>
            </w:tcMar>
          </w:tcPr>
          <w:p>
            <w:pPr>
              <w:spacing w:after="20" w:before="20"/>
            </w:pPr>
            <w:r>
              <w:rPr>
                <w:rFonts w:ascii="Arial" w:cs="Arial" w:eastAsia="Arial" w:hAnsi="Arial"/>
                <w:color w:val="1E293B"/>
                <w:sz w:val="20"/>
                <w:szCs w:val="20"/>
              </w:rPr>
              <w:t xml:space="preserve">  Retain for a minimum of 5 years per regulatory_framework.txt Section 2.2.</w:t>
            </w:r>
          </w:p>
        </w:tc>
      </w:tr>
    </w:tbl>
    <w:p>
      <w:pPr>
        <w:spacing w:after="60" w:before="60"/>
      </w:pPr>
      <w:r>
        <w:t xml:space="preserve"/>
      </w:r>
    </w:p>
    <w:p>
      <w:r>
        <w:br w:type="page"/>
      </w:r>
    </w:p>
    <w:p>
      <w:pPr>
        <w:pStyle w:val="Heading2"/>
        <w:spacing w:after="120" w:before="280"/>
      </w:pPr>
      <w:r>
        <w:rPr>
          <w:rFonts w:ascii="Arial" w:cs="Arial" w:eastAsia="Arial" w:hAnsi="Arial"/>
          <w:b/>
          <w:bCs/>
          <w:color w:val="0F5B4B"/>
          <w:sz w:val="26"/>
          <w:szCs w:val="26"/>
        </w:rPr>
        <w:t xml:space="preserve">3.5 Admin Configuration Screen</w:t>
      </w:r>
    </w:p>
    <w:p>
      <w:pPr>
        <w:spacing w:after="80" w:before="60"/>
      </w:pPr>
      <w:r>
        <w:rPr>
          <w:rFonts w:ascii="Arial" w:cs="Arial" w:eastAsia="Arial" w:hAnsi="Arial"/>
          <w:color w:val="1E293B"/>
          <w:sz w:val="22"/>
          <w:szCs w:val="22"/>
        </w:rPr>
        <w:t xml:space="preserve">This screen is only functional when the System Admin role is selected. Other roles see a locked access message.</w:t>
      </w:r>
    </w:p>
    <w:p>
      <w:pPr>
        <w:spacing w:after="60" w:before="60"/>
      </w:pPr>
      <w:r>
        <w:t xml:space="preserve"/>
      </w:r>
    </w:p>
    <w:p>
      <w:pPr>
        <w:pStyle w:val="Heading3"/>
        <w:spacing w:after="80" w:before="200"/>
      </w:pPr>
      <w:r>
        <w:rPr>
          <w:rFonts w:ascii="Arial" w:cs="Arial" w:eastAsia="Arial" w:hAnsi="Arial"/>
          <w:b/>
          <w:bCs/>
          <w:color w:val="1E293B"/>
          <w:sz w:val="24"/>
          <w:szCs w:val="24"/>
        </w:rPr>
        <w:t xml:space="preserve">3.5.1 User &amp; Role Management</w:t>
      </w:r>
    </w:p>
    <w:p>
      <w:pPr>
        <w:spacing w:after="80" w:before="60"/>
      </w:pPr>
      <w:r>
        <w:rPr>
          <w:rFonts w:ascii="Arial" w:cs="Arial" w:eastAsia="Arial" w:hAnsi="Arial"/>
          <w:color w:val="1E293B"/>
          <w:sz w:val="22"/>
          <w:szCs w:val="22"/>
        </w:rPr>
        <w:t xml:space="preserve">Displays the current role-tier assignment matrix showing which teams correspond to which approval tiers. Use the Assign User to Role form to update role assignments. Changes take effect immediately but are currently stored in the seed configuration — a persistent user management system would be added in a production deployment.</w:t>
      </w:r>
    </w:p>
    <w:p>
      <w:pPr>
        <w:spacing w:after="60" w:before="60"/>
      </w:pPr>
      <w:r>
        <w:t xml:space="preserve"/>
      </w:r>
    </w:p>
    <w:p>
      <w:pPr>
        <w:pStyle w:val="Heading3"/>
        <w:spacing w:after="80" w:before="200"/>
      </w:pPr>
      <w:r>
        <w:rPr>
          <w:rFonts w:ascii="Arial" w:cs="Arial" w:eastAsia="Arial" w:hAnsi="Arial"/>
          <w:b/>
          <w:bCs/>
          <w:color w:val="1E293B"/>
          <w:sz w:val="24"/>
          <w:szCs w:val="24"/>
        </w:rPr>
        <w:t xml:space="preserve">3.5.2 Policy &amp; Threshold Configuration</w:t>
      </w:r>
    </w:p>
    <w:p>
      <w:pPr>
        <w:spacing w:after="80" w:before="60"/>
      </w:pPr>
      <w:r>
        <w:rPr>
          <w:rFonts w:ascii="Arial" w:cs="Arial" w:eastAsia="Arial" w:hAnsi="Arial"/>
          <w:color w:val="1E293B"/>
          <w:sz w:val="22"/>
          <w:szCs w:val="22"/>
        </w:rPr>
        <w:t xml:space="preserve">Displays and allows editing of the numeric policy thresholds used by the Guardrail Agent:</w:t>
      </w:r>
    </w:p>
    <w:p>
      <w:pPr>
        <w:pStyle w:val="ListParagraph"/>
        <w:numPr>
          <w:ilvl w:val="0"/>
          <w:numId w:val="2"/>
        </w:numPr>
        <w:spacing w:after="40" w:before="40"/>
      </w:pPr>
      <w:r>
        <w:rPr>
          <w:rFonts w:ascii="Arial" w:cs="Arial" w:eastAsia="Arial" w:hAnsi="Arial"/>
          <w:color w:val="1E293B"/>
          <w:sz w:val="22"/>
          <w:szCs w:val="22"/>
        </w:rPr>
        <w:t xml:space="preserve">Billing Credit Tier-2 Limit — maximum credit amount before Compliance sign-off is mandatory</w:t>
      </w:r>
    </w:p>
    <w:p>
      <w:pPr>
        <w:pStyle w:val="ListParagraph"/>
        <w:numPr>
          <w:ilvl w:val="0"/>
          <w:numId w:val="2"/>
        </w:numPr>
        <w:spacing w:after="40" w:before="40"/>
      </w:pPr>
      <w:r>
        <w:rPr>
          <w:rFonts w:ascii="Arial" w:cs="Arial" w:eastAsia="Arial" w:hAnsi="Arial"/>
          <w:color w:val="1E293B"/>
          <w:sz w:val="22"/>
          <w:szCs w:val="22"/>
        </w:rPr>
        <w:t xml:space="preserve">Bandwidth Waiver Max — maximum % increase above contracted bandwidth</w:t>
      </w:r>
    </w:p>
    <w:p>
      <w:pPr>
        <w:pStyle w:val="ListParagraph"/>
        <w:numPr>
          <w:ilvl w:val="0"/>
          <w:numId w:val="2"/>
        </w:numPr>
        <w:spacing w:after="40" w:before="40"/>
      </w:pPr>
      <w:r>
        <w:rPr>
          <w:rFonts w:ascii="Arial" w:cs="Arial" w:eastAsia="Arial" w:hAnsi="Arial"/>
          <w:color w:val="1E293B"/>
          <w:sz w:val="22"/>
          <w:szCs w:val="22"/>
        </w:rPr>
        <w:t xml:space="preserve">SLA Waiver Max — maximum number of days an SLA waiver can be granted</w:t>
      </w:r>
    </w:p>
    <w:p>
      <w:pPr>
        <w:pStyle w:val="ListParagraph"/>
        <w:numPr>
          <w:ilvl w:val="0"/>
          <w:numId w:val="2"/>
        </w:numPr>
        <w:spacing w:after="40" w:before="40"/>
      </w:pPr>
      <w:r>
        <w:rPr>
          <w:rFonts w:ascii="Arial" w:cs="Arial" w:eastAsia="Arial" w:hAnsi="Arial"/>
          <w:color w:val="1E293B"/>
          <w:sz w:val="22"/>
          <w:szCs w:val="22"/>
        </w:rPr>
        <w:t xml:space="preserve">KYC Deferral Max — maximum number of days a KYC deferral can be authorised</w:t>
      </w:r>
    </w:p>
    <w:p>
      <w:pPr>
        <w:spacing w:after="60" w:before="60"/>
      </w:pPr>
      <w:r>
        <w:t xml:space="preserve"/>
      </w:r>
    </w:p>
    <w:tbl>
      <w:tblPr>
        <w:tblW w:type="dxa" w:w="9360"/>
        <w:tblBorders>
          <w:top w:val="single" w:color="D97706" w:sz="4"/>
          <w:left w:val="single" w:color="D97706" w:sz="4"/>
          <w:bottom w:val="single" w:color="D97706" w:sz="1"/>
          <w:right w:val="single" w:color="D97706"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60"/>
              <w:left w:type="dxa" w:w="160"/>
              <w:bottom w:type="dxa" w:w="60"/>
              <w:right w:type="dxa" w:w="160"/>
            </w:tcMar>
          </w:tcPr>
          <w:p>
            <w:pPr>
              <w:spacing w:after="20" w:before="20"/>
            </w:pPr>
            <w:r>
              <w:rPr>
                <w:rFonts w:ascii="Arial" w:cs="Arial" w:eastAsia="Arial" w:hAnsi="Arial"/>
                <w:color w:val="1E293B"/>
                <w:sz w:val="20"/>
                <w:szCs w:val="20"/>
              </w:rPr>
              <w:t xml:space="preserve">  NOTE: Threshold changes on this screen are currently display-only in the frontend. To apply changes to the live guardrail, update the THRESHOLDS dictionary in backend/agents/guardrail.py.</w:t>
            </w:r>
          </w:p>
        </w:tc>
      </w:tr>
    </w:tbl>
    <w:p>
      <w:pPr>
        <w:spacing w:after="60" w:before="60"/>
      </w:pPr>
      <w:r>
        <w:t xml:space="preserve"/>
      </w:r>
    </w:p>
    <w:p>
      <w:pPr>
        <w:pStyle w:val="Heading3"/>
        <w:spacing w:after="80" w:before="200"/>
      </w:pPr>
      <w:r>
        <w:rPr>
          <w:rFonts w:ascii="Arial" w:cs="Arial" w:eastAsia="Arial" w:hAnsi="Arial"/>
          <w:b/>
          <w:bCs/>
          <w:color w:val="1E293B"/>
          <w:sz w:val="24"/>
          <w:szCs w:val="24"/>
        </w:rPr>
        <w:t xml:space="preserve">3.5.3 AI Model &amp; Prompt Settings</w:t>
      </w:r>
    </w:p>
    <w:p>
      <w:pPr>
        <w:spacing w:after="80" w:before="60"/>
      </w:pPr>
      <w:r>
        <w:rPr>
          <w:rFonts w:ascii="Arial" w:cs="Arial" w:eastAsia="Arial" w:hAnsi="Arial"/>
          <w:color w:val="1E293B"/>
          <w:sz w:val="22"/>
          <w:szCs w:val="22"/>
        </w:rPr>
        <w:t xml:space="preserve">Shows the active LLM model (azure/genailab-maas-gpt-4.1) and embedding model (azure/genailab-maas-text-embedding-3-large). The prompt template editor allows modification of the system prompt used for justification generation. Policy corpus upload (for adding new .txt policy files) is shown but requires re-running rag/ingest.py to take effect.</w:t>
      </w:r>
    </w:p>
    <w:p>
      <w:pPr>
        <w:spacing w:after="60" w:before="60"/>
      </w:pPr>
      <w:r>
        <w:t xml:space="preserve"/>
      </w:r>
    </w:p>
    <w:p>
      <w:r>
        <w:br w:type="page"/>
      </w:r>
    </w:p>
    <w:p>
      <w:pPr>
        <w:pStyle w:val="Heading1"/>
        <w:pBdr>
          <w:bottom w:val="single" w:color="4F46E5" w:sz="6" w:space="1"/>
        </w:pBdr>
        <w:spacing w:after="160" w:before="360"/>
      </w:pPr>
      <w:r>
        <w:rPr>
          <w:rFonts w:ascii="Arial" w:cs="Arial" w:eastAsia="Arial" w:hAnsi="Arial"/>
          <w:b/>
          <w:bCs/>
          <w:color w:val="4F46E5"/>
          <w:sz w:val="32"/>
          <w:szCs w:val="32"/>
        </w:rPr>
        <w:t xml:space="preserve">4. Common Tasks — Step-by-Step</w:t>
      </w:r>
    </w:p>
    <w:p>
      <w:pPr>
        <w:pStyle w:val="Heading2"/>
        <w:spacing w:after="120" w:before="280"/>
      </w:pPr>
      <w:r>
        <w:rPr>
          <w:rFonts w:ascii="Arial" w:cs="Arial" w:eastAsia="Arial" w:hAnsi="Arial"/>
          <w:b/>
          <w:bCs/>
          <w:color w:val="0F5B4B"/>
          <w:sz w:val="26"/>
          <w:szCs w:val="26"/>
        </w:rPr>
        <w:t xml:space="preserve">4.1 How to Create and Submit a Deviation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872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20"/>
            </w:tcMar>
          </w:tcPr>
          <w:p>
            <w:r>
              <w:rPr>
                <w:rFonts w:ascii="Arial" w:cs="Arial" w:eastAsia="Arial" w:hAnsi="Arial"/>
                <w:color w:val="1E293B"/>
                <w:sz w:val="22"/>
                <w:szCs w:val="22"/>
              </w:rPr>
              <w:t xml:space="preserve">Click Deviation Request in the left sidebar</w:t>
            </w:r>
          </w:p>
        </w:tc>
      </w:tr>
      <w:tr>
        <w:tc>
          <w:tcPr>
            <w:tcW w:type="dxa" w:w="640"/>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872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2"/>
                <w:szCs w:val="22"/>
              </w:rPr>
              <w:t xml:space="preserve">Select the Deviation Type from the dropdown</w:t>
            </w:r>
          </w:p>
        </w:tc>
      </w:tr>
      <w:tr>
        <w:tc>
          <w:tcPr>
            <w:tcW w:type="dxa" w:w="640"/>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872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20"/>
            </w:tcMar>
          </w:tcPr>
          <w:p>
            <w:r>
              <w:rPr>
                <w:rFonts w:ascii="Arial" w:cs="Arial" w:eastAsia="Arial" w:hAnsi="Arial"/>
                <w:color w:val="1E293B"/>
                <w:sz w:val="22"/>
                <w:szCs w:val="22"/>
              </w:rPr>
              <w:t xml:space="preserve">Enter the Customer Name and Account ID</w:t>
            </w:r>
          </w:p>
        </w:tc>
      </w:tr>
      <w:tr>
        <w:tc>
          <w:tcPr>
            <w:tcW w:type="dxa" w:w="640"/>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872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2"/>
                <w:szCs w:val="22"/>
              </w:rPr>
              <w:t xml:space="preserve">Write a Scope description (at least 10 characters describing the reason)</w:t>
            </w:r>
          </w:p>
        </w:tc>
      </w:tr>
      <w:tr>
        <w:tc>
          <w:tcPr>
            <w:tcW w:type="dxa" w:w="640"/>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W w:type="dxa" w:w="872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20"/>
            </w:tcMar>
          </w:tcPr>
          <w:p>
            <w:r>
              <w:rPr>
                <w:rFonts w:ascii="Arial" w:cs="Arial" w:eastAsia="Arial" w:hAnsi="Arial"/>
                <w:color w:val="1E293B"/>
                <w:sz w:val="22"/>
                <w:szCs w:val="22"/>
              </w:rPr>
              <w:t xml:space="preserve">Enter the Requested Value — check the Standard Limit shown below it</w:t>
            </w:r>
          </w:p>
        </w:tc>
      </w:tr>
      <w:tr>
        <w:tc>
          <w:tcPr>
            <w:tcW w:type="dxa" w:w="640"/>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6</w:t>
            </w:r>
          </w:p>
        </w:tc>
        <w:tc>
          <w:tcPr>
            <w:tcW w:type="dxa" w:w="872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2"/>
                <w:szCs w:val="22"/>
              </w:rPr>
              <w:t xml:space="preserve">Select the appropriate Urgency level</w:t>
            </w:r>
          </w:p>
        </w:tc>
      </w:tr>
      <w:tr>
        <w:tc>
          <w:tcPr>
            <w:tcW w:type="dxa" w:w="640"/>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7</w:t>
            </w:r>
          </w:p>
        </w:tc>
        <w:tc>
          <w:tcPr>
            <w:tcW w:type="dxa" w:w="872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20"/>
            </w:tcMar>
          </w:tcPr>
          <w:p>
            <w:r>
              <w:rPr>
                <w:rFonts w:ascii="Arial" w:cs="Arial" w:eastAsia="Arial" w:hAnsi="Arial"/>
                <w:color w:val="1E293B"/>
                <w:sz w:val="22"/>
                <w:szCs w:val="22"/>
              </w:rPr>
              <w:t xml:space="preserve">Click Generate AI Justification — wait for the AI analysis (10-30 seconds)</w:t>
            </w:r>
          </w:p>
        </w:tc>
      </w:tr>
      <w:tr>
        <w:tc>
          <w:tcPr>
            <w:tcW w:type="dxa" w:w="640"/>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8</w:t>
            </w:r>
          </w:p>
        </w:tc>
        <w:tc>
          <w:tcPr>
            <w:tcW w:type="dxa" w:w="872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2"/>
                <w:szCs w:val="22"/>
              </w:rPr>
              <w:t xml:space="preserve">Review the generated justification and policy references on Step 2</w:t>
            </w:r>
          </w:p>
        </w:tc>
      </w:tr>
      <w:tr>
        <w:tc>
          <w:tcPr>
            <w:tcW w:type="dxa" w:w="640"/>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9</w:t>
            </w:r>
          </w:p>
        </w:tc>
        <w:tc>
          <w:tcPr>
            <w:tcW w:type="dxa" w:w="872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20"/>
            </w:tcMar>
          </w:tcPr>
          <w:p>
            <w:r>
              <w:rPr>
                <w:rFonts w:ascii="Arial" w:cs="Arial" w:eastAsia="Arial" w:hAnsi="Arial"/>
                <w:color w:val="1E293B"/>
                <w:sz w:val="22"/>
                <w:szCs w:val="22"/>
              </w:rPr>
              <w:t xml:space="preserve">Edit the justification text if needed</w:t>
            </w:r>
          </w:p>
        </w:tc>
      </w:tr>
      <w:tr>
        <w:tc>
          <w:tcPr>
            <w:tcW w:type="dxa" w:w="640"/>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10</w:t>
            </w:r>
          </w:p>
        </w:tc>
        <w:tc>
          <w:tcPr>
            <w:tcW w:type="dxa" w:w="872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2"/>
                <w:szCs w:val="22"/>
              </w:rPr>
              <w:t xml:space="preserve">Click Submit for Approval</w:t>
            </w:r>
          </w:p>
        </w:tc>
      </w:tr>
      <w:tr>
        <w:tc>
          <w:tcPr>
            <w:tcW w:type="dxa" w:w="640"/>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11</w:t>
            </w:r>
          </w:p>
        </w:tc>
        <w:tc>
          <w:tcPr>
            <w:tcW w:type="dxa" w:w="872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20"/>
            </w:tcMar>
          </w:tcPr>
          <w:p>
            <w:r>
              <w:rPr>
                <w:rFonts w:ascii="Arial" w:cs="Arial" w:eastAsia="Arial" w:hAnsi="Arial"/>
                <w:color w:val="1E293B"/>
                <w:sz w:val="22"/>
                <w:szCs w:val="22"/>
              </w:rPr>
              <w:t xml:space="preserve">Click Start Approval Workflow on the confirmation screen</w:t>
            </w:r>
          </w:p>
        </w:tc>
      </w:tr>
    </w:tbl>
    <w:p>
      <w:pPr>
        <w:spacing w:after="60" w:before="60"/>
      </w:pPr>
      <w:r>
        <w:t xml:space="preserve"/>
      </w:r>
    </w:p>
    <w:p>
      <w:pPr>
        <w:pStyle w:val="Heading2"/>
        <w:spacing w:after="120" w:before="280"/>
      </w:pPr>
      <w:r>
        <w:rPr>
          <w:rFonts w:ascii="Arial" w:cs="Arial" w:eastAsia="Arial" w:hAnsi="Arial"/>
          <w:b/>
          <w:bCs/>
          <w:color w:val="0F5B4B"/>
          <w:sz w:val="26"/>
          <w:szCs w:val="26"/>
        </w:rPr>
        <w:t xml:space="preserve">4.2 How to Approve Your Step in the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872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20"/>
            </w:tcMar>
          </w:tcPr>
          <w:p>
            <w:r>
              <w:rPr>
                <w:rFonts w:ascii="Arial" w:cs="Arial" w:eastAsia="Arial" w:hAnsi="Arial"/>
                <w:color w:val="1E293B"/>
                <w:sz w:val="22"/>
                <w:szCs w:val="22"/>
              </w:rPr>
              <w:t xml:space="preserve">Check your Pending My Approval count on the Dashboard</w:t>
            </w:r>
          </w:p>
        </w:tc>
      </w:tr>
      <w:tr>
        <w:tc>
          <w:tcPr>
            <w:tcW w:type="dxa" w:w="640"/>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872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2"/>
                <w:szCs w:val="22"/>
              </w:rPr>
              <w:t xml:space="preserve">Click Review on a pending item, or navigate to Review &amp; Approval</w:t>
            </w:r>
          </w:p>
        </w:tc>
      </w:tr>
      <w:tr>
        <w:tc>
          <w:tcPr>
            <w:tcW w:type="dxa" w:w="640"/>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872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20"/>
            </w:tcMar>
          </w:tcPr>
          <w:p>
            <w:r>
              <w:rPr>
                <w:rFonts w:ascii="Arial" w:cs="Arial" w:eastAsia="Arial" w:hAnsi="Arial"/>
                <w:color w:val="1E293B"/>
                <w:sz w:val="22"/>
                <w:szCs w:val="22"/>
              </w:rPr>
              <w:t xml:space="preserve">Use the top-bar Role Switcher to confirm you are in the correct role</w:t>
            </w:r>
          </w:p>
        </w:tc>
      </w:tr>
      <w:tr>
        <w:tc>
          <w:tcPr>
            <w:tcW w:type="dxa" w:w="640"/>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872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2"/>
                <w:szCs w:val="22"/>
              </w:rPr>
              <w:t xml:space="preserve">Read the AI Recommendation bubble for your step</w:t>
            </w:r>
          </w:p>
        </w:tc>
      </w:tr>
      <w:tr>
        <w:tc>
          <w:tcPr>
            <w:tcW w:type="dxa" w:w="640"/>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W w:type="dxa" w:w="872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20"/>
            </w:tcMar>
          </w:tcPr>
          <w:p>
            <w:r>
              <w:rPr>
                <w:rFonts w:ascii="Arial" w:cs="Arial" w:eastAsia="Arial" w:hAnsi="Arial"/>
                <w:color w:val="1E293B"/>
                <w:sz w:val="22"/>
                <w:szCs w:val="22"/>
              </w:rPr>
              <w:t xml:space="preserve">Enter an approval comment in the text box (recommended)</w:t>
            </w:r>
          </w:p>
        </w:tc>
      </w:tr>
      <w:tr>
        <w:tc>
          <w:tcPr>
            <w:tcW w:type="dxa" w:w="640"/>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6</w:t>
            </w:r>
          </w:p>
        </w:tc>
        <w:tc>
          <w:tcPr>
            <w:tcW w:type="dxa" w:w="872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2"/>
                <w:szCs w:val="22"/>
              </w:rPr>
              <w:t xml:space="preserve">Click Approve — the button is only active if your role matches the step</w:t>
            </w:r>
          </w:p>
        </w:tc>
      </w:tr>
      <w:tr>
        <w:tc>
          <w:tcPr>
            <w:tcW w:type="dxa" w:w="640"/>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7</w:t>
            </w:r>
          </w:p>
        </w:tc>
        <w:tc>
          <w:tcPr>
            <w:tcW w:type="dxa" w:w="872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20"/>
            </w:tcMar>
          </w:tcPr>
          <w:p>
            <w:r>
              <w:rPr>
                <w:rFonts w:ascii="Arial" w:cs="Arial" w:eastAsia="Arial" w:hAnsi="Arial"/>
                <w:color w:val="1E293B"/>
                <w:sz w:val="22"/>
                <w:szCs w:val="22"/>
              </w:rPr>
              <w:t xml:space="preserve">Confirm the success banner appears and the next step activates</w:t>
            </w:r>
          </w:p>
        </w:tc>
      </w:tr>
    </w:tbl>
    <w:p>
      <w:pPr>
        <w:spacing w:after="60" w:before="60"/>
      </w:pPr>
      <w:r>
        <w:t xml:space="preserve"/>
      </w:r>
    </w:p>
    <w:p>
      <w:pPr>
        <w:pStyle w:val="Heading2"/>
        <w:spacing w:after="120" w:before="280"/>
      </w:pPr>
      <w:r>
        <w:rPr>
          <w:rFonts w:ascii="Arial" w:cs="Arial" w:eastAsia="Arial" w:hAnsi="Arial"/>
          <w:b/>
          <w:bCs/>
          <w:color w:val="0F5B4B"/>
          <w:sz w:val="26"/>
          <w:szCs w:val="26"/>
        </w:rPr>
        <w:t xml:space="preserve">4.3 How to Reject a Deviation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872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20"/>
            </w:tcMar>
          </w:tcPr>
          <w:p>
            <w:r>
              <w:rPr>
                <w:rFonts w:ascii="Arial" w:cs="Arial" w:eastAsia="Arial" w:hAnsi="Arial"/>
                <w:color w:val="1E293B"/>
                <w:sz w:val="22"/>
                <w:szCs w:val="22"/>
              </w:rPr>
              <w:t xml:space="preserve">Navigate to the active approval step for your role</w:t>
            </w:r>
          </w:p>
        </w:tc>
      </w:tr>
      <w:tr>
        <w:tc>
          <w:tcPr>
            <w:tcW w:type="dxa" w:w="640"/>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872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2"/>
                <w:szCs w:val="22"/>
              </w:rPr>
              <w:t xml:space="preserve">Enter the rejection reason in the comment box (mandatory)</w:t>
            </w:r>
          </w:p>
        </w:tc>
      </w:tr>
      <w:tr>
        <w:tc>
          <w:tcPr>
            <w:tcW w:type="dxa" w:w="640"/>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872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20"/>
            </w:tcMar>
          </w:tcPr>
          <w:p>
            <w:r>
              <w:rPr>
                <w:rFonts w:ascii="Arial" w:cs="Arial" w:eastAsia="Arial" w:hAnsi="Arial"/>
                <w:color w:val="1E293B"/>
                <w:sz w:val="22"/>
                <w:szCs w:val="22"/>
              </w:rPr>
              <w:t xml:space="preserve">Click Reject</w:t>
            </w:r>
          </w:p>
        </w:tc>
      </w:tr>
      <w:tr>
        <w:tc>
          <w:tcPr>
            <w:tcW w:type="dxa" w:w="640"/>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872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2"/>
                <w:szCs w:val="22"/>
              </w:rPr>
              <w:t xml:space="preserve">The deviation status changes to rejected immediately — this cannot be undone</w:t>
            </w:r>
          </w:p>
        </w:tc>
      </w:tr>
      <w:tr>
        <w:tc>
          <w:tcPr>
            <w:tcW w:type="dxa" w:w="640"/>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W w:type="dxa" w:w="872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20"/>
            </w:tcMar>
          </w:tcPr>
          <w:p>
            <w:r>
              <w:rPr>
                <w:rFonts w:ascii="Arial" w:cs="Arial" w:eastAsia="Arial" w:hAnsi="Arial"/>
                <w:color w:val="1E293B"/>
                <w:sz w:val="22"/>
                <w:szCs w:val="22"/>
              </w:rPr>
              <w:t xml:space="preserve">All waiting steps are cancelled — no further approvals are needed</w:t>
            </w:r>
          </w:p>
        </w:tc>
      </w:tr>
      <w:tr>
        <w:tc>
          <w:tcPr>
            <w:tcW w:type="dxa" w:w="640"/>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6</w:t>
            </w:r>
          </w:p>
        </w:tc>
        <w:tc>
          <w:tcPr>
            <w:tcW w:type="dxa" w:w="872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2"/>
                <w:szCs w:val="22"/>
              </w:rPr>
              <w:t xml:space="preserve">Navigate to Execution &amp; Audit to generate the rejection audit summary</w:t>
            </w:r>
          </w:p>
        </w:tc>
      </w:tr>
    </w:tbl>
    <w:p>
      <w:pPr>
        <w:spacing w:after="60" w:before="60"/>
      </w:pPr>
      <w:r>
        <w:t xml:space="preserve"/>
      </w:r>
    </w:p>
    <w:p>
      <w:pPr>
        <w:pStyle w:val="Heading2"/>
        <w:spacing w:after="120" w:before="280"/>
      </w:pPr>
      <w:r>
        <w:rPr>
          <w:rFonts w:ascii="Arial" w:cs="Arial" w:eastAsia="Arial" w:hAnsi="Arial"/>
          <w:b/>
          <w:bCs/>
          <w:color w:val="0F5B4B"/>
          <w:sz w:val="26"/>
          <w:szCs w:val="26"/>
        </w:rPr>
        <w:t xml:space="preserve">4.4 How to Generate and Export the Audit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872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20"/>
            </w:tcMar>
          </w:tcPr>
          <w:p>
            <w:r>
              <w:rPr>
                <w:rFonts w:ascii="Arial" w:cs="Arial" w:eastAsia="Arial" w:hAnsi="Arial"/>
                <w:color w:val="1E293B"/>
                <w:sz w:val="22"/>
                <w:szCs w:val="22"/>
              </w:rPr>
              <w:t xml:space="preserve">Navigate to Execution &amp; Audit using the sidebar</w:t>
            </w:r>
          </w:p>
        </w:tc>
      </w:tr>
      <w:tr>
        <w:tc>
          <w:tcPr>
            <w:tcW w:type="dxa" w:w="640"/>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872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2"/>
                <w:szCs w:val="22"/>
              </w:rPr>
              <w:t xml:space="preserve">Confirm a deviation is selected (the deviation ID appears in the banner)</w:t>
            </w:r>
          </w:p>
        </w:tc>
      </w:tr>
      <w:tr>
        <w:tc>
          <w:tcPr>
            <w:tcW w:type="dxa" w:w="640"/>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872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20"/>
            </w:tcMar>
          </w:tcPr>
          <w:p>
            <w:r>
              <w:rPr>
                <w:rFonts w:ascii="Arial" w:cs="Arial" w:eastAsia="Arial" w:hAnsi="Arial"/>
                <w:color w:val="1E293B"/>
                <w:sz w:val="22"/>
                <w:szCs w:val="22"/>
              </w:rPr>
              <w:t xml:space="preserve">Click Generate AI Summary — wait for GPT-4.1 to write the compliance narrative</w:t>
            </w:r>
          </w:p>
        </w:tc>
      </w:tr>
      <w:tr>
        <w:tc>
          <w:tcPr>
            <w:tcW w:type="dxa" w:w="640"/>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872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2"/>
                <w:szCs w:val="22"/>
              </w:rPr>
              <w:t xml:space="preserve">Review the six-section compliance summary</w:t>
            </w:r>
          </w:p>
        </w:tc>
      </w:tr>
      <w:tr>
        <w:tc>
          <w:tcPr>
            <w:tcW w:type="dxa" w:w="640"/>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W w:type="dxa" w:w="872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20"/>
            </w:tcMar>
          </w:tcPr>
          <w:p>
            <w:r>
              <w:rPr>
                <w:rFonts w:ascii="Arial" w:cs="Arial" w:eastAsia="Arial" w:hAnsi="Arial"/>
                <w:color w:val="1E293B"/>
                <w:sz w:val="22"/>
                <w:szCs w:val="22"/>
              </w:rPr>
              <w:t xml:space="preserve">Click Export JSON (Full Regulatory Package)</w:t>
            </w:r>
          </w:p>
        </w:tc>
      </w:tr>
      <w:tr>
        <w:tc>
          <w:tcPr>
            <w:tcW w:type="dxa" w:w="640"/>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6</w:t>
            </w:r>
          </w:p>
        </w:tc>
        <w:tc>
          <w:tcPr>
            <w:tcW w:type="dxa" w:w="872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20"/>
            </w:tcMar>
          </w:tcPr>
          <w:p>
            <w:r>
              <w:rPr>
                <w:rFonts w:ascii="Arial" w:cs="Arial" w:eastAsia="Arial" w:hAnsi="Arial"/>
                <w:color w:val="1E293B"/>
                <w:sz w:val="22"/>
                <w:szCs w:val="22"/>
              </w:rPr>
              <w:t xml:space="preserve">Save the downloaded .json file — it is the official compliance record</w:t>
            </w:r>
          </w:p>
        </w:tc>
      </w:tr>
    </w:tbl>
    <w:p>
      <w:pPr>
        <w:spacing w:after="60" w:before="60"/>
      </w:pPr>
      <w:r>
        <w:t xml:space="preserve"/>
      </w:r>
    </w:p>
    <w:p>
      <w:r>
        <w:br w:type="page"/>
      </w:r>
    </w:p>
    <w:p>
      <w:pPr>
        <w:pStyle w:val="Heading1"/>
        <w:pBdr>
          <w:bottom w:val="single" w:color="4F46E5" w:sz="6" w:space="1"/>
        </w:pBdr>
        <w:spacing w:after="160" w:before="360"/>
      </w:pPr>
      <w:r>
        <w:rPr>
          <w:rFonts w:ascii="Arial" w:cs="Arial" w:eastAsia="Arial" w:hAnsi="Arial"/>
          <w:b/>
          <w:bCs/>
          <w:color w:val="4F46E5"/>
          <w:sz w:val="32"/>
          <w:szCs w:val="32"/>
        </w:rPr>
        <w:t xml:space="preserve">5. Troubleshooting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3000"/>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Likely Cause</w:t>
            </w:r>
          </w:p>
        </w:tc>
        <w:tc>
          <w:tcPr>
            <w:tcW w:type="dxa" w:w="3360"/>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Approve/Reject buttons are grey</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Your role does not match this approval step</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Use the Role Switcher to change to the required role (shown in the step header)</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Cannot reach the server error</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FastAPI backend is not running</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Open a terminal, run: cd backend &amp;&amp; uvicorn main:app --reload --port 8000</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AI Justification takes a long time</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Normal — LLM API calls take 10-30 seconds</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Wait for the spinner to finish. The 60-second timeout will show an error if it fails.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Generate AI Summary returns 409 error</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Deviation is still in_review</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Complete all 4 approval steps before generating the audit summary</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Guardrail blocked my request</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One of the 8 validation rules failed</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Read the error message — it explains exactly which rule was triggered and what to fix</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 items in Pending My Approval</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No steps match your current role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Check you have the correct role selected, or the deviation may not have been submitted yet</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Export file is empty</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Audit summary not generated yet</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Click Generate AI Summary first, then try Export again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Role switcher shows wrong screens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Role state not refreshed</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Switch away from the role and back again — the screen will re-render</w:t>
            </w:r>
          </w:p>
        </w:tc>
      </w:tr>
    </w:tbl>
    <w:p>
      <w:pPr>
        <w:spacing w:after="60" w:before="60"/>
      </w:pPr>
      <w:r>
        <w:t xml:space="preserve"/>
      </w:r>
    </w:p>
    <w:p>
      <w:r>
        <w:br w:type="page"/>
      </w:r>
    </w:p>
    <w:p>
      <w:pPr>
        <w:pStyle w:val="Heading1"/>
        <w:pBdr>
          <w:bottom w:val="single" w:color="4F46E5" w:sz="6" w:space="1"/>
        </w:pBdr>
        <w:spacing w:after="160" w:before="360"/>
      </w:pPr>
      <w:r>
        <w:rPr>
          <w:rFonts w:ascii="Arial" w:cs="Arial" w:eastAsia="Arial" w:hAnsi="Arial"/>
          <w:b/>
          <w:bCs/>
          <w:color w:val="4F46E5"/>
          <w:sz w:val="32"/>
          <w:szCs w:val="32"/>
        </w:rPr>
        <w:t xml:space="preserve">6.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CBD5E1" w:sz="1"/>
              <w:left w:val="single" w:color="CBD5E1" w:sz="1"/>
              <w:bottom w:val="single" w:color="CBD5E1" w:sz="1"/>
              <w:right w:val="single" w:color="CBD5E1"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Deviation</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 formal request to operate temporarily outside standard policy limits.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Guardrail Agent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An AI component that validates deviation inputs against 8 deterministic rules before any LLM call.</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Justification Agent</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An AI component that retrieves relevant policy clauses and generates a compliance-friendly business justification.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Approval Advisor Agent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An AI component that generates a role-specific recommendation for each approver in the chain.</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Audit Summariser Agent</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An AI component that writes a structured compliance summary after workflow completion.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RAG</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Retrieval-Augmented Generation — the technique of injecting retrieved document chunks into LLM prompts to ground responses in real policy content.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LangGraph</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The AI orchestration framework used to manage stateful, multi-step workflows with human-in-the-loop pauses.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ChromaDB</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local vector database that stores embedded policy document chunks for semantic retrieval.</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Human-in-the-Loop</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 workflow pattern where the AI graph pauses at each approval step to wait for a human decision before continuing.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Integrity Hash</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 SHA-256 cryptographic hash computed over all audit log entries, used to detect any tampering with the audit record.</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Tier-1 / Tier-2</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Policy thresholds defining escalation levels. Tier-1 deviations require Ops+Finance. Tier-2 requires full 4-step chain.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in_review</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deviation status after submission — it is in the approval workflow and awaiting decisions.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KYC</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Know Your Customer — regulatory identity verification requirement for business accounts.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SLA</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Service Level Agreement — a contract defining the expected service quality and penalty clauses.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CPUC TL-18965</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California Public Utilities Commission resolution governing metering error compensation.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FCC Part 64</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Federal Communications Commission regulation requiring billing accuracy within 0.5%.</w:t>
            </w:r>
          </w:p>
        </w:tc>
      </w:tr>
    </w:tbl>
    <w:p>
      <w:pPr>
        <w:spacing w:after="60" w:before="60"/>
      </w:pPr>
      <w:r>
        <w:t xml:space="preserve"/>
      </w:r>
    </w:p>
    <w:p>
      <w:pPr>
        <w:spacing w:after="60" w:before="60"/>
      </w:pPr>
      <w:r>
        <w:t xml:space="preserve"/>
      </w:r>
    </w:p>
    <w:tbl>
      <w:tblPr>
        <w:tblW w:type="dxa" w:w="9360"/>
        <w:tblBorders>
          <w:top w:val="single" w:color="4F46E5" w:sz="4"/>
          <w:left w:val="single" w:color="4F46E5" w:sz="4"/>
          <w:bottom w:val="single" w:color="4F46E5" w:sz="1"/>
          <w:right w:val="single" w:color="4F46E5"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2FF" w:val="clear"/>
            <w:tcMar>
              <w:top w:type="dxa" w:w="60"/>
              <w:left w:type="dxa" w:w="160"/>
              <w:bottom w:type="dxa" w:w="60"/>
              <w:right w:type="dxa" w:w="160"/>
            </w:tcMar>
          </w:tcPr>
          <w:p>
            <w:pPr>
              <w:spacing w:after="20" w:before="20"/>
            </w:pPr>
            <w:r>
              <w:rPr>
                <w:rFonts w:ascii="Arial" w:cs="Arial" w:eastAsia="Arial" w:hAnsi="Arial"/>
                <w:color w:val="1E293B"/>
                <w:sz w:val="20"/>
                <w:szCs w:val="20"/>
              </w:rPr>
              <w:t xml:space="preserve">  END: Document End  —  TelcoFlow AI End User Manual  —  Version 1.0</w:t>
            </w:r>
          </w:p>
        </w:tc>
      </w:tr>
      <w:tr>
        <w:tc>
          <w:tcPr>
            <w:tcW w:type="dxa" w:w="9360"/>
            <w:tcBorders>
              <w:top w:val="none" w:color="FFFFFF" w:sz="0"/>
              <w:left w:val="none" w:color="FFFFFF" w:sz="0"/>
              <w:bottom w:val="none" w:color="FFFFFF" w:sz="0"/>
              <w:right w:val="none" w:color="FFFFFF" w:sz="0"/>
            </w:tcBorders>
            <w:shd w:fill="EEF2FF" w:val="clear"/>
            <w:tcMar>
              <w:top w:type="dxa" w:w="60"/>
              <w:left w:type="dxa" w:w="160"/>
              <w:bottom w:type="dxa" w:w="60"/>
              <w:right w:type="dxa" w:w="160"/>
            </w:tcMar>
          </w:tcPr>
          <w:p>
            <w:pPr>
              <w:spacing w:after="20" w:before="20"/>
            </w:pPr>
            <w:r>
              <w:rPr>
                <w:rFonts w:ascii="Arial" w:cs="Arial" w:eastAsia="Arial" w:hAnsi="Arial"/>
                <w:color w:val="1E293B"/>
                <w:sz w:val="20"/>
                <w:szCs w:val="20"/>
              </w:rPr>
              <w:t xml:space="preserve">  For technical issues, contact your system administrator or consult the Architecture document.</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tabs>
        <w:tab w:val="right" w:pos="9026"/>
      </w:tabs>
    </w:pPr>
    <w:r>
      <w:rPr>
        <w:rFonts w:ascii="Arial" w:cs="Arial" w:eastAsia="Arial" w:hAnsi="Arial"/>
        <w:color w:val="94a3b8"/>
        <w:sz w:val="16"/>
        <w:szCs w:val="16"/>
      </w:rPr>
      <w:t xml:space="preserve">TelcoFlow AI — User Manual v1.0</w:t>
    </w:r>
    <w:r>
      <w:rPr>
        <w:rFonts w:ascii="Arial" w:cs="Arial" w:eastAsia="Arial" w:hAnsi="Arial"/>
        <w:color w:val="94a3b8"/>
        <w:sz w:val="16"/>
        <w:szCs w:val="16"/>
      </w:rPr>
      <w:t xml:space="preserve">	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4" w:space="4"/>
      </w:pBdr>
    </w:pPr>
    <w:r>
      <w:rPr>
        <w:rFonts w:ascii="Arial" w:cs="Arial" w:eastAsia="Arial" w:hAnsi="Arial"/>
        <w:color w:val="64748B"/>
        <w:sz w:val="18"/>
        <w:szCs w:val="18"/>
      </w:rPr>
      <w:t xml:space="preserve">TelcoFlow AI  |  End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4F46E5"/>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F5B4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2026-04-10T10:04:19.421Z</dcterms:created>
  <dcterms:modified xsi:type="dcterms:W3CDTF">2026-04-10T10:04:19.422Z</dcterms:modified>
</cp:coreProperties>
</file>

<file path=docProps/custom.xml><?xml version="1.0" encoding="utf-8"?>
<Properties xmlns="http://schemas.openxmlformats.org/officeDocument/2006/custom-properties" xmlns:vt="http://schemas.openxmlformats.org/officeDocument/2006/docPropsVTypes"/>
</file>