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compiled the complete proposal, system architecture, comparative analysis, and development roadmap into a formal report for you below: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46"/>
          <w:szCs w:val="46"/>
        </w:rPr>
      </w:pPr>
      <w:bookmarkStart w:colFirst="0" w:colLast="0" w:name="_hemp00p0i25e" w:id="0"/>
      <w:bookmarkEnd w:id="0"/>
      <w:r w:rsidDel="00000000" w:rsidR="00000000" w:rsidRPr="00000000">
        <w:rPr>
          <w:b w:val="1"/>
          <w:bCs w:val="1"/>
          <w:sz w:val="46"/>
          <w:szCs w:val="46"/>
          <w:rtl w:val="0"/>
        </w:rPr>
        <w:t xml:space="preserve">Bio-Digital Closed-Loop Myocardial Regeneration (BD-CMR)</w:t>
      </w:r>
    </w:p>
    <w:p w:rsidR="00000000" w:rsidDel="00000000" w:rsidP="00000000" w:rsidRDefault="00000000" w:rsidRPr="00000000" w14:paraId="00000004">
      <w:pPr>
        <w:rPr>
          <w:b w:val="1"/>
          <w:bCs w:val="1"/>
        </w:rPr>
      </w:pPr>
      <w:r w:rsidDel="00000000" w:rsidR="00000000" w:rsidRPr="00000000">
        <w:rPr>
          <w:b w:val="1"/>
          <w:bCs w:val="1"/>
          <w:rtl w:val="0"/>
        </w:rPr>
        <w:t xml:space="preserve">A Next-Generation Framework for Reversing Heart Tissue Scarring and Cardiac Remodeling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5vdc1qaftaf8" w:id="1"/>
      <w:bookmarkEnd w:id="1"/>
      <w:r w:rsidDel="00000000" w:rsidR="00000000" w:rsidRPr="00000000">
        <w:rPr>
          <w:b w:val="1"/>
          <w:bCs w:val="1"/>
          <w:sz w:val="34"/>
          <w:szCs w:val="34"/>
          <w:rtl w:val="0"/>
        </w:rPr>
        <w:t xml:space="preserve">1. Executive Summary &amp; Breakthrough Premise</w:t>
      </w:r>
    </w:p>
    <w:p w:rsidR="00000000" w:rsidDel="00000000" w:rsidP="00000000" w:rsidRDefault="00000000" w:rsidRPr="00000000" w14:paraId="00000007">
      <w:pPr>
        <w:rPr/>
      </w:pPr>
      <w:r w:rsidDel="00000000" w:rsidR="00000000" w:rsidRPr="00000000">
        <w:rPr>
          <w:rtl w:val="0"/>
        </w:rPr>
        <w:t xml:space="preserve">Reversing heart tissue failure at the cellular and structural level in real time remains the paramount challenge in modern cardiology. Following an ischemic event, such as a myocardial infarction, human cardiomyocytes undergo rapid apoptosis and necrosis. The mammalian heart lacks significant regenerative capacity, replacing functional contractile muscle with dense, non-contractile collagenous scar tissue. Over time, this leads to pathological cardiac remodeling, progressive ventricular dilation, intractable heart failure, and fatal electrical re-entry arrhythmias.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Current therapies—including beta-blockers, ACE inhibitors, mechanical circulatory support, and cardiac resynchronization therapy—primarily focus on slowing disease progression rather than reversing structural damage. The </w:t>
      </w:r>
      <w:r w:rsidDel="00000000" w:rsidR="00000000" w:rsidRPr="00000000">
        <w:rPr>
          <w:b w:val="1"/>
          <w:bCs w:val="1"/>
          <w:rtl w:val="0"/>
        </w:rPr>
        <w:t xml:space="preserve">Bio-Digital Closed-Loop Myocardial Regeneration (BD-CMR)</w:t>
      </w:r>
      <w:r w:rsidDel="00000000" w:rsidR="00000000" w:rsidRPr="00000000">
        <w:rPr>
          <w:rtl w:val="0"/>
        </w:rPr>
        <w:t xml:space="preserve"> system establishes a therapeutic paradigm that bridges molecular biology, bioelectronics, and adaptive software control. By integrating direct </w:t>
      </w:r>
      <w:r w:rsidDel="00000000" w:rsidR="00000000" w:rsidRPr="00000000">
        <w:rPr>
          <w:i w:val="1"/>
          <w:iCs w:val="1"/>
          <w:rtl w:val="0"/>
        </w:rPr>
        <w:t xml:space="preserve">in situ</w:t>
      </w:r>
      <w:r w:rsidDel="00000000" w:rsidR="00000000" w:rsidRPr="00000000">
        <w:rPr>
          <w:rtl w:val="0"/>
        </w:rPr>
        <w:t xml:space="preserve"> epigenetic reprogramming with soft conductive bio-nanogrids and real-time digital twin monitoring, the BD-CMR platform actively converts non-functional fibrotic scar tissue into synchronously contracting myocardium.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uxoh802tbiy9" w:id="2"/>
      <w:bookmarkEnd w:id="2"/>
      <w:r w:rsidDel="00000000" w:rsidR="00000000" w:rsidRPr="00000000">
        <w:rPr>
          <w:b w:val="1"/>
          <w:bCs w:val="1"/>
          <w:sz w:val="34"/>
          <w:szCs w:val="34"/>
          <w:rtl w:val="0"/>
        </w:rPr>
        <w:t xml:space="preserve">2. Core Technological Innovation</w:t>
      </w:r>
    </w:p>
    <w:p w:rsidR="00000000" w:rsidDel="00000000" w:rsidP="00000000" w:rsidRDefault="00000000" w:rsidRPr="00000000" w14:paraId="0000000C">
      <w:pPr>
        <w:rPr/>
      </w:pPr>
      <w:r w:rsidDel="00000000" w:rsidR="00000000" w:rsidRPr="00000000">
        <w:rPr>
          <w:rtl w:val="0"/>
        </w:rPr>
        <w:t xml:space="preserve">The BD-CMR concept synthesizes three distinct technological breakthroughs into a unified therapeutic delivery platform: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w9q1il41lszf" w:id="3"/>
      <w:bookmarkEnd w:id="3"/>
      <w:r w:rsidDel="00000000" w:rsidR="00000000" w:rsidRPr="00000000">
        <w:rPr>
          <w:b w:val="1"/>
          <w:bCs w:val="1"/>
          <w:color w:val="000000"/>
          <w:sz w:val="26"/>
          <w:szCs w:val="26"/>
          <w:rtl w:val="0"/>
        </w:rPr>
        <w:t xml:space="preserve">2.1 In Situ Epigenetic Reprogramming</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Cellular Target:</w:t>
      </w:r>
      <w:r w:rsidDel="00000000" w:rsidR="00000000" w:rsidRPr="00000000">
        <w:rPr>
          <w:rtl w:val="0"/>
        </w:rPr>
        <w:t xml:space="preserve"> Cardiac fibroblasts and myofibroblasts constituting the dense scar core and border zones.</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Mechanism:</w:t>
      </w:r>
      <w:r w:rsidDel="00000000" w:rsidR="00000000" w:rsidRPr="00000000">
        <w:rPr>
          <w:rtl w:val="0"/>
        </w:rPr>
        <w:t xml:space="preserve"> Direct lineage reprogramming into induced cardiomyocytes (iCMs) without reverting to a pluripotency stage, mitigating tumorigenesis and teratoma risks.</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Delivery Vector:</w:t>
      </w:r>
      <w:r w:rsidDel="00000000" w:rsidR="00000000" w:rsidRPr="00000000">
        <w:rPr>
          <w:rtl w:val="0"/>
        </w:rPr>
        <w:t xml:space="preserve"> Systemically administered or locally infused lipid nanoparticles (LNPs) functionalized with cardiac fibroblast-specific targeting ligands.</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Payload:</w:t>
      </w:r>
      <w:r w:rsidDel="00000000" w:rsidR="00000000" w:rsidRPr="00000000">
        <w:rPr>
          <w:rtl w:val="0"/>
        </w:rPr>
        <w:t xml:space="preserve"> Synthetic messenger RNA (mRNA) and target-bound RNA-guided CRISPR trans-activators encoding key cardiac transcription factors (e.g., Gata4, Mef2c, Tbx5, Hand2).</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8w6fkxjxpprl" w:id="4"/>
      <w:bookmarkEnd w:id="4"/>
      <w:r w:rsidDel="00000000" w:rsidR="00000000" w:rsidRPr="00000000">
        <w:rPr>
          <w:b w:val="1"/>
          <w:bCs w:val="1"/>
          <w:color w:val="000000"/>
          <w:sz w:val="26"/>
          <w:szCs w:val="26"/>
          <w:rtl w:val="0"/>
        </w:rPr>
        <w:t xml:space="preserve">2.2 Bio-Integrated Conductive Nanogrids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Material Composition:</w:t>
      </w:r>
      <w:r w:rsidDel="00000000" w:rsidR="00000000" w:rsidRPr="00000000">
        <w:rPr>
          <w:rtl w:val="0"/>
        </w:rPr>
        <w:t xml:space="preserve"> Ultra-soft, micro-injectable mesh composed of bio-compatible graphene-elastomer nanocomposites or conductive PEDOT:PSS hydrogels.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Electrical Integration:</w:t>
      </w:r>
      <w:r w:rsidDel="00000000" w:rsidR="00000000" w:rsidRPr="00000000">
        <w:rPr>
          <w:rtl w:val="0"/>
        </w:rPr>
        <w:t xml:space="preserve"> Intertwines directly with the extracellular matrix of damaged border zones to bridge electrical conduction blocks.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Anti-Arrhythmia Shield:</w:t>
      </w:r>
      <w:r w:rsidDel="00000000" w:rsidR="00000000" w:rsidRPr="00000000">
        <w:rPr>
          <w:rtl w:val="0"/>
        </w:rPr>
        <w:t xml:space="preserve"> Restores natural action potential propagation velocities across the scar, preventing re-entry circuits and fatal ventricular arrhythmias during the cellular transition state.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l8nxiy29yl4c" w:id="5"/>
      <w:bookmarkEnd w:id="5"/>
      <w:r w:rsidDel="00000000" w:rsidR="00000000" w:rsidRPr="00000000">
        <w:rPr>
          <w:b w:val="1"/>
          <w:bCs w:val="1"/>
          <w:color w:val="000000"/>
          <w:sz w:val="26"/>
          <w:szCs w:val="26"/>
          <w:rtl w:val="0"/>
        </w:rPr>
        <w:t xml:space="preserve">2.3 Closed-Loop AI Control &amp; Software Application</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Real-Time Diagnostics:</w:t>
      </w:r>
      <w:r w:rsidDel="00000000" w:rsidR="00000000" w:rsidRPr="00000000">
        <w:rPr>
          <w:rtl w:val="0"/>
        </w:rPr>
        <w:t xml:space="preserve"> Continuously streams local micro-ECG signals, single-cell impedance, and localized tissue tension measured through micro-sensors inside the conductive mesh.</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Precision Dosing Control:</w:t>
      </w:r>
      <w:r w:rsidDel="00000000" w:rsidR="00000000" w:rsidRPr="00000000">
        <w:rPr>
          <w:rtl w:val="0"/>
        </w:rPr>
        <w:t xml:space="preserve"> Dynamically regulates the release timing and micro-dosing of RNA payloads based on localized metabolic activity and wall stress.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Adaptive Conditioning:</w:t>
      </w:r>
      <w:r w:rsidDel="00000000" w:rsidR="00000000" w:rsidRPr="00000000">
        <w:rPr>
          <w:rtl w:val="0"/>
        </w:rPr>
        <w:t xml:space="preserve"> Delivers sub-threshold biomimetic electrical pacing tailored to emerging iCMs to ensure metabolic and electromechanical integration with surrounding native tissue.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2bdyds90jqio" w:id="6"/>
      <w:bookmarkEnd w:id="6"/>
      <w:r w:rsidDel="00000000" w:rsidR="00000000" w:rsidRPr="00000000">
        <w:rPr>
          <w:b w:val="1"/>
          <w:bCs w:val="1"/>
          <w:sz w:val="34"/>
          <w:szCs w:val="34"/>
          <w:rtl w:val="0"/>
        </w:rPr>
        <w:t xml:space="preserve">3. System Architecture &amp; Platform Lifecycle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325"/>
        <w:gridCol w:w="2415"/>
        <w:gridCol w:w="2190"/>
        <w:tblGridChange w:id="0">
          <w:tblGrid>
            <w:gridCol w:w="1830"/>
            <w:gridCol w:w="2325"/>
            <w:gridCol w:w="2415"/>
            <w:gridCol w:w="21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Primary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Key Input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Action / Deliverable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Phase A: Mapping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Digital Twin Construction &amp; Target Mapping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4D Cardiac MRI, Speckle-Tracking Echo, Spatial Transcriptomics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3D millimeter-scale border zone map, stress tensors, and LNP targeting coordinates.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Phase B: Intervention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Controlled Reprogramming &amp; Biomimetic Pacing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Micro-ECG, localized impedance, wall strain analytics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Targeted LNP dosing protocols and adaptive micro-pacing via bio-nanogrid.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Phase C: Monitoring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Predictive Analytics &amp; Remodeling Tracking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Continuous tissue stiffness metrics, velocity vector imaging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Automated feedback loops adjusting electrical and biochemical stimuli daily.</w:t>
            </w:r>
          </w:p>
        </w:tc>
      </w:tr>
    </w:tbl>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eve6gn8yp7l5" w:id="7"/>
      <w:bookmarkEnd w:id="7"/>
      <w:r w:rsidDel="00000000" w:rsidR="00000000" w:rsidRPr="00000000">
        <w:rPr>
          <w:b w:val="1"/>
          <w:bCs w:val="1"/>
          <w:color w:val="000000"/>
          <w:sz w:val="26"/>
          <w:szCs w:val="26"/>
          <w:rtl w:val="0"/>
        </w:rPr>
        <w:t xml:space="preserve">Phase A: Non-Invasive Digital Twin &amp; Target Mapping</w:t>
      </w:r>
    </w:p>
    <w:p w:rsidR="00000000" w:rsidDel="00000000" w:rsidP="00000000" w:rsidRDefault="00000000" w:rsidRPr="00000000" w14:paraId="00000037">
      <w:pPr>
        <w:rPr/>
      </w:pPr>
      <w:r w:rsidDel="00000000" w:rsidR="00000000" w:rsidRPr="00000000">
        <w:rPr>
          <w:rtl w:val="0"/>
        </w:rPr>
        <w:t xml:space="preserve">The application ingests high-resolution, multi-modal imaging datasets—including 4D flow cardiac magnetic resonance imaging (MRI), speckle-tracking echocardiography, and spatial transcriptomics from bioptome samples or circulating biomarker profiles. Neural networks construct a patient-specific cardiac digital twin, modeling local mechanical strain, wall thickness, and electrical propagation vectors. Machine learning models pinpoint millimeter-scale border zones between healthy tissue and fibrous scar, determining the exact spatial coordinates for LNP infusion and nanogrid placement.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839est4tlz5f" w:id="8"/>
      <w:bookmarkEnd w:id="8"/>
      <w:r w:rsidDel="00000000" w:rsidR="00000000" w:rsidRPr="00000000">
        <w:rPr>
          <w:b w:val="1"/>
          <w:bCs w:val="1"/>
          <w:color w:val="000000"/>
          <w:sz w:val="26"/>
          <w:szCs w:val="26"/>
          <w:rtl w:val="0"/>
        </w:rPr>
        <w:t xml:space="preserve">Phase B: Controlled Reprogramming &amp; Electromechanical Pacing</w:t>
      </w:r>
    </w:p>
    <w:p w:rsidR="00000000" w:rsidDel="00000000" w:rsidP="00000000" w:rsidRDefault="00000000" w:rsidRPr="00000000" w14:paraId="0000003A">
      <w:pPr>
        <w:rPr/>
      </w:pPr>
      <w:r w:rsidDel="00000000" w:rsidR="00000000" w:rsidRPr="00000000">
        <w:rPr>
          <w:rtl w:val="0"/>
        </w:rPr>
        <w:t xml:space="preserve">Using real-time telemetry from the deployed nanogrid, the software calculates dynamic dosing schedules for epigenetic cocktails based on tissue stiffness and metabolic markers. Concurrently, the platform delivers customized electrical conditioning through the soft mesh. Newly reprogrammed cardiomyocytes are vulnerable to asynchronous beating; the application's smart biomimetic pacing protocol conditions these nascent cells, guiding their electrical alignment until they fully synchronize with the heart's natural sinoatrial pacing signals.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6xro5aw8eefy" w:id="9"/>
      <w:bookmarkEnd w:id="9"/>
      <w:r w:rsidDel="00000000" w:rsidR="00000000" w:rsidRPr="00000000">
        <w:rPr>
          <w:b w:val="1"/>
          <w:bCs w:val="1"/>
          <w:color w:val="000000"/>
          <w:sz w:val="26"/>
          <w:szCs w:val="26"/>
          <w:rtl w:val="0"/>
        </w:rPr>
        <w:t xml:space="preserve">Phase C: Predictive Structural Monitoring</w:t>
      </w:r>
    </w:p>
    <w:p w:rsidR="00000000" w:rsidDel="00000000" w:rsidP="00000000" w:rsidRDefault="00000000" w:rsidRPr="00000000" w14:paraId="0000003D">
      <w:pPr>
        <w:rPr/>
      </w:pPr>
      <w:r w:rsidDel="00000000" w:rsidR="00000000" w:rsidRPr="00000000">
        <w:rPr>
          <w:rtl w:val="0"/>
        </w:rPr>
        <w:t xml:space="preserve">The system computes daily ventricular wall recovery and remodeling indices. By tracking changes in tissue impedance and elasticity over time, the predictive engine evaluates the rate at which fibrotic scar tissue transitions into functional contractile muscle. Software parameters adjust biochemically and electrically in a closed feedback loop without requiring manual clinical recalibration.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ot7i9exqzm1t" w:id="10"/>
      <w:bookmarkEnd w:id="10"/>
      <w:r w:rsidDel="00000000" w:rsidR="00000000" w:rsidRPr="00000000">
        <w:rPr>
          <w:b w:val="1"/>
          <w:bCs w:val="1"/>
          <w:sz w:val="34"/>
          <w:szCs w:val="34"/>
          <w:rtl w:val="0"/>
        </w:rPr>
        <w:t xml:space="preserve">4. Paradigm Shift: Current Standard vs. BD-CMR System</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255"/>
        <w:gridCol w:w="3495"/>
        <w:tblGridChange w:id="0">
          <w:tblGrid>
            <w:gridCol w:w="2055"/>
            <w:gridCol w:w="3255"/>
            <w:gridCol w:w="34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Feature / Dimension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Current Standard of Care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BD-CMR Breakthrough System</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Primary Objective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Disease management; slowing progression of post-MI heart failure.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Active tissue reversal; structural regeneration of functional myocardium.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Cellular Target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Systemic neurohormonal blockade (e.g., beta-blockers, ACE inhibitors).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Direct </w:t>
            </w:r>
            <w:r w:rsidDel="00000000" w:rsidR="00000000" w:rsidRPr="00000000">
              <w:rPr>
                <w:i w:val="1"/>
                <w:iCs w:val="1"/>
                <w:color w:val="1f1f1f"/>
                <w:rtl w:val="0"/>
              </w:rPr>
              <w:t xml:space="preserve">in situ</w:t>
            </w:r>
            <w:r w:rsidDel="00000000" w:rsidR="00000000" w:rsidRPr="00000000">
              <w:rPr>
                <w:color w:val="1f1f1f"/>
                <w:rtl w:val="0"/>
              </w:rPr>
              <w:t xml:space="preserve"> conversion of scar-forming fibroblasts to cardiomyocytes.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Stem Cell / Delivery Challenges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Low engraftment rate (&lt;1-2%), high arrhythmogenic risks with static stem cell injections.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Non-viral LNP direct reprogramming backed by an active bio-electric arrhythmia shield.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Feedback Mechanism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Open-loop care; static pharmaceutical regimens with periodic clinical visits.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Closed-loop adaptive care; continuous single-cell sensing and real-time micro-dosing adjustments.</w:t>
            </w:r>
          </w:p>
        </w:tc>
      </w:tr>
    </w:tbl>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sz w:val="34"/>
          <w:szCs w:val="34"/>
        </w:rPr>
      </w:pPr>
      <w:bookmarkStart w:colFirst="0" w:colLast="0" w:name="_3kftve3ur4qy" w:id="11"/>
      <w:bookmarkEnd w:id="11"/>
      <w:r w:rsidDel="00000000" w:rsidR="00000000" w:rsidRPr="00000000">
        <w:rPr>
          <w:b w:val="1"/>
          <w:bCs w:val="1"/>
          <w:sz w:val="34"/>
          <w:szCs w:val="34"/>
          <w:rtl w:val="0"/>
        </w:rPr>
        <w:t xml:space="preserve">5. Software Roadmap &amp; Development Strategy</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Computational Core &amp; Digital Twin Framework:</w:t>
      </w:r>
      <w:r w:rsidDel="00000000" w:rsidR="00000000" w:rsidRPr="00000000">
        <w:rPr>
          <w:rtl w:val="0"/>
        </w:rPr>
        <w:t xml:space="preserve"> Develop physics-informed neural network (PINN) algorithms capable of modeling border-zone scar mechanics and electrical conduction blocks from 4D MRI and echocardiography data.</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In Silico Micro-Pacing Simulation:</w:t>
      </w:r>
      <w:r w:rsidDel="00000000" w:rsidR="00000000" w:rsidRPr="00000000">
        <w:rPr>
          <w:rtl w:val="0"/>
        </w:rPr>
        <w:t xml:space="preserve"> Model conduction dynamics across conductive bio-meshes within simulated damaged ventricles to optimize sub-threshold pacing profiles.</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rtl w:val="0"/>
        </w:rPr>
        <w:t xml:space="preserve">Pre-Clinical Closed-Loop Integration:</w:t>
      </w:r>
      <w:r w:rsidDel="00000000" w:rsidR="00000000" w:rsidRPr="00000000">
        <w:rPr>
          <w:rtl w:val="0"/>
        </w:rPr>
        <w:t xml:space="preserve"> Partner with biomedical engineering teams to validate real-time feedback loops on human organ-on-a-chip cardiac tissue constructs and post-infarct animal models.</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