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X689b17cc2a83465a6a19ecf1932d6ad8bda7b6b"/>
    <w:p>
      <w:pPr>
        <w:pStyle w:val="Heading1"/>
      </w:pPr>
      <w:r>
        <w:t xml:space="preserve">Forever Lotus x Awaricon: Universe-Level Market Leadership Master Plan</w:t>
      </w:r>
    </w:p>
    <w:p>
      <w:pPr>
        <w:pStyle w:val="FirstParagraph"/>
      </w:pPr>
      <w:r>
        <w:t xml:space="preserve">Version: 1.0</w:t>
      </w:r>
      <w:r>
        <w:br/>
      </w:r>
      <w:r>
        <w:t xml:space="preserve">Date: 2026-04-06</w:t>
      </w:r>
      <w:r>
        <w:br/>
      </w:r>
      <w:r>
        <w:t xml:space="preserve">Scope: 36 months, with detailed 180-day launch execution</w:t>
      </w:r>
      <w:r>
        <w:br/>
      </w:r>
      <w:r>
        <w:t xml:space="preserve">Primary Objective: Make Forever Lotus the most trusted, most cited, most adopted dignity-first marketing and trust-certification authority globally while remaining fully compliant with Forever Lotus manifesto principles.</w:t>
      </w:r>
    </w:p>
    <w:p>
      <w:r>
        <w:pict>
          <v:rect style="width:0;height:1.5pt" o:hralign="center" o:hrstd="t" o:hr="t"/>
        </w:pict>
      </w:r>
    </w:p>
    <w:bookmarkStart w:id="9" w:name="executive-thesis"/>
    <w:p>
      <w:pPr>
        <w:pStyle w:val="Heading2"/>
      </w:pPr>
      <w:r>
        <w:t xml:space="preserve">1) Executive Thesis</w:t>
      </w:r>
    </w:p>
    <w:p>
      <w:pPr>
        <w:pStyle w:val="FirstParagraph"/>
      </w:pPr>
      <w:r>
        <w:t xml:space="preserve">Forever Lotus can become the number 1 marketing agency in the universe only if it wins on five dimensions simultaneously:</w:t>
      </w:r>
    </w:p>
    <w:p>
      <w:pPr>
        <w:pStyle w:val="Compact"/>
        <w:numPr>
          <w:ilvl w:val="0"/>
          <w:numId w:val="1001"/>
        </w:numPr>
      </w:pPr>
      <w:r>
        <w:t xml:space="preserve">Moral authority: Uncompromised alignment to Compassion, Dignity, Stewardship, and Transparency.</w:t>
      </w:r>
    </w:p>
    <w:p>
      <w:pPr>
        <w:pStyle w:val="Compact"/>
        <w:numPr>
          <w:ilvl w:val="0"/>
          <w:numId w:val="1001"/>
        </w:numPr>
      </w:pPr>
      <w:r>
        <w:t xml:space="preserve">Epistemic authority: Peer-reviewed, reproducible methods and externally validated impact.</w:t>
      </w:r>
    </w:p>
    <w:p>
      <w:pPr>
        <w:pStyle w:val="Compact"/>
        <w:numPr>
          <w:ilvl w:val="0"/>
          <w:numId w:val="1001"/>
        </w:numPr>
      </w:pPr>
      <w:r>
        <w:t xml:space="preserve">Distribution authority: Category ownership in search, partnerships, media, and standards bodies.</w:t>
      </w:r>
    </w:p>
    <w:p>
      <w:pPr>
        <w:pStyle w:val="Compact"/>
        <w:numPr>
          <w:ilvl w:val="0"/>
          <w:numId w:val="1001"/>
        </w:numPr>
      </w:pPr>
      <w:r>
        <w:t xml:space="preserve">Product authority: Awaricon as the default trust layer for presence verification and ethical growth.</w:t>
      </w:r>
    </w:p>
    <w:p>
      <w:pPr>
        <w:pStyle w:val="Compact"/>
        <w:numPr>
          <w:ilvl w:val="0"/>
          <w:numId w:val="1001"/>
        </w:numPr>
      </w:pPr>
      <w:r>
        <w:t xml:space="preserve">Operating authority: Paperclip-managed execution with high cadence, low drift, and measurable outcomes.</w:t>
      </w:r>
    </w:p>
    <w:p>
      <w:pPr>
        <w:pStyle w:val="FirstParagraph"/>
      </w:pPr>
      <w:r>
        <w:t xml:space="preserve">This plan treats growth as a systems problem, not a campaign problem.</w:t>
      </w:r>
    </w:p>
    <w:p>
      <w:r>
        <w:pict>
          <v:rect style="width:0;height:1.5pt" o:hralign="center" o:hrstd="t" o:hr="t"/>
        </w:pict>
      </w:r>
    </w:p>
    <w:bookmarkEnd w:id="9"/>
    <w:bookmarkStart w:id="11" w:name="X97fb64fefcc87b4d5254e01e1dc54607abd8d47"/>
    <w:p>
      <w:pPr>
        <w:pStyle w:val="Heading2"/>
      </w:pPr>
      <w:r>
        <w:t xml:space="preserve">2) Manifesto Compliance: Non-Negotiable Constitutional Constraints</w:t>
      </w:r>
    </w:p>
    <w:p>
      <w:pPr>
        <w:pStyle w:val="FirstParagraph"/>
      </w:pPr>
      <w:r>
        <w:t xml:space="preserve">All execution must satisfy these hard rules, derived from MANIFESTO and MANIFESTO_EVALUATOR:</w:t>
      </w:r>
    </w:p>
    <w:p>
      <w:pPr>
        <w:pStyle w:val="Compact"/>
        <w:numPr>
          <w:ilvl w:val="0"/>
          <w:numId w:val="1002"/>
        </w:numPr>
      </w:pPr>
      <w:r>
        <w:t xml:space="preserve">No dark patterns.</w:t>
      </w:r>
    </w:p>
    <w:p>
      <w:pPr>
        <w:pStyle w:val="Compact"/>
        <w:numPr>
          <w:ilvl w:val="0"/>
          <w:numId w:val="1002"/>
        </w:numPr>
      </w:pPr>
      <w:r>
        <w:t xml:space="preserve">No manipulative fear-based acquisition messaging.</w:t>
      </w:r>
    </w:p>
    <w:p>
      <w:pPr>
        <w:pStyle w:val="Compact"/>
        <w:numPr>
          <w:ilvl w:val="0"/>
          <w:numId w:val="1002"/>
        </w:numPr>
      </w:pPr>
      <w:r>
        <w:t xml:space="preserve">Privacy-first data model and minimal extraction.</w:t>
      </w:r>
    </w:p>
    <w:p>
      <w:pPr>
        <w:pStyle w:val="Compact"/>
        <w:numPr>
          <w:ilvl w:val="0"/>
          <w:numId w:val="1002"/>
        </w:numPr>
      </w:pPr>
      <w:r>
        <w:t xml:space="preserve">Accessibility-first product and content production.</w:t>
      </w:r>
    </w:p>
    <w:p>
      <w:pPr>
        <w:pStyle w:val="Compact"/>
        <w:numPr>
          <w:ilvl w:val="0"/>
          <w:numId w:val="1002"/>
        </w:numPr>
      </w:pPr>
      <w:r>
        <w:t xml:space="preserve">Empowerment over dependency in client delivery.</w:t>
      </w:r>
    </w:p>
    <w:p>
      <w:pPr>
        <w:pStyle w:val="Compact"/>
        <w:numPr>
          <w:ilvl w:val="0"/>
          <w:numId w:val="1002"/>
        </w:numPr>
      </w:pPr>
      <w:r>
        <w:t xml:space="preserve">Public impact reporting with evidence and uncertainty disclosure.</w:t>
      </w:r>
    </w:p>
    <w:p>
      <w:pPr>
        <w:pStyle w:val="Compact"/>
        <w:numPr>
          <w:ilvl w:val="0"/>
          <w:numId w:val="1002"/>
        </w:numPr>
      </w:pPr>
      <w:r>
        <w:t xml:space="preserve">Human-AI transparency in all generated deliverables.</w:t>
      </w:r>
    </w:p>
    <w:bookmarkStart w:id="10" w:name="compliance-gate-for-every-initiative"/>
    <w:p>
      <w:pPr>
        <w:pStyle w:val="Heading3"/>
      </w:pPr>
      <w:r>
        <w:t xml:space="preserve">2.1 Compliance Gate for Every Initiative</w:t>
      </w:r>
    </w:p>
    <w:p>
      <w:pPr>
        <w:pStyle w:val="FirstParagraph"/>
      </w:pPr>
      <w:r>
        <w:t xml:space="preserve">Any initiative enters execution only if it passes all seven checks:</w:t>
      </w:r>
    </w:p>
    <w:p>
      <w:pPr>
        <w:pStyle w:val="Compact"/>
        <w:numPr>
          <w:ilvl w:val="0"/>
          <w:numId w:val="1003"/>
        </w:numPr>
      </w:pPr>
      <w:r>
        <w:t xml:space="preserve">Compassion Check: Does it reduce suffering or confusion?</w:t>
      </w:r>
    </w:p>
    <w:p>
      <w:pPr>
        <w:pStyle w:val="Compact"/>
        <w:numPr>
          <w:ilvl w:val="0"/>
          <w:numId w:val="1003"/>
        </w:numPr>
      </w:pPr>
      <w:r>
        <w:t xml:space="preserve">Dignity Check: Does it increase user agency?</w:t>
      </w:r>
    </w:p>
    <w:p>
      <w:pPr>
        <w:pStyle w:val="Compact"/>
        <w:numPr>
          <w:ilvl w:val="0"/>
          <w:numId w:val="1003"/>
        </w:numPr>
      </w:pPr>
      <w:r>
        <w:t xml:space="preserve">Stewardship Check: Is resource use responsible and efficient?</w:t>
      </w:r>
    </w:p>
    <w:p>
      <w:pPr>
        <w:pStyle w:val="Compact"/>
        <w:numPr>
          <w:ilvl w:val="0"/>
          <w:numId w:val="1003"/>
        </w:numPr>
      </w:pPr>
      <w:r>
        <w:t xml:space="preserve">Transparency Check: Are assumptions and trade-offs disclosed?</w:t>
      </w:r>
    </w:p>
    <w:p>
      <w:pPr>
        <w:pStyle w:val="Compact"/>
        <w:numPr>
          <w:ilvl w:val="0"/>
          <w:numId w:val="1003"/>
        </w:numPr>
      </w:pPr>
      <w:r>
        <w:t xml:space="preserve">Inclusion Check: Is it accessible and culturally adaptive?</w:t>
      </w:r>
    </w:p>
    <w:p>
      <w:pPr>
        <w:pStyle w:val="Compact"/>
        <w:numPr>
          <w:ilvl w:val="0"/>
          <w:numId w:val="1003"/>
        </w:numPr>
      </w:pPr>
      <w:r>
        <w:t xml:space="preserve">Evidence Check: Can claims be traced to data?</w:t>
      </w:r>
    </w:p>
    <w:p>
      <w:pPr>
        <w:pStyle w:val="Compact"/>
        <w:numPr>
          <w:ilvl w:val="0"/>
          <w:numId w:val="1003"/>
        </w:numPr>
      </w:pPr>
      <w:r>
        <w:t xml:space="preserve">Reversibility Check: If harmful, can we roll back quickly?</w:t>
      </w:r>
    </w:p>
    <w:p>
      <w:pPr>
        <w:pStyle w:val="FirstParagraph"/>
      </w:pPr>
      <w:r>
        <w:t xml:space="preserve">If any check fails, initiative is blocked.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3" w:name="X927bd40f07ca0c58f4cad4bc489c2010d310e1b"/>
    <w:p>
      <w:pPr>
        <w:pStyle w:val="Heading2"/>
      </w:pPr>
      <w:r>
        <w:t xml:space="preserve">3) Definition of Number 1 (Operational, Not Vanity)</w:t>
      </w:r>
    </w:p>
    <w:p>
      <w:pPr>
        <w:pStyle w:val="FirstParagraph"/>
      </w:pPr>
      <w:r>
        <w:t xml:space="preserve">Forever Lotus is considered number 1 when it leads the market on a composite score:</w:t>
      </w:r>
    </w:p>
    <w:p>
      <w:pPr>
        <w:pStyle w:val="BodyText"/>
      </w:pPr>
      <w:r>
        <w:t xml:space="preserve">Dominance Index DI = 0.25 Trust + 0.20 Adoption + 0.20 Influence + 0.20 Performance + 0.15 Durability</w:t>
      </w:r>
    </w:p>
    <w:p>
      <w:pPr>
        <w:pStyle w:val="BodyText"/>
      </w:pPr>
      <w:r>
        <w:t xml:space="preserve">Where:</w:t>
      </w:r>
    </w:p>
    <w:p>
      <w:pPr>
        <w:pStyle w:val="Compact"/>
        <w:numPr>
          <w:ilvl w:val="0"/>
          <w:numId w:val="1004"/>
        </w:numPr>
      </w:pPr>
      <w:r>
        <w:t xml:space="preserve">Trust: Third-party credibility and public confidence.</w:t>
      </w:r>
    </w:p>
    <w:p>
      <w:pPr>
        <w:pStyle w:val="Compact"/>
        <w:numPr>
          <w:ilvl w:val="0"/>
          <w:numId w:val="1004"/>
        </w:numPr>
      </w:pPr>
      <w:r>
        <w:t xml:space="preserve">Adoption: Verified deployments of Awaricon and retainer clients.</w:t>
      </w:r>
    </w:p>
    <w:p>
      <w:pPr>
        <w:pStyle w:val="Compact"/>
        <w:numPr>
          <w:ilvl w:val="0"/>
          <w:numId w:val="1004"/>
        </w:numPr>
      </w:pPr>
      <w:r>
        <w:t xml:space="preserve">Influence: Citation share in media, research, policy, and standards.</w:t>
      </w:r>
    </w:p>
    <w:p>
      <w:pPr>
        <w:pStyle w:val="Compact"/>
        <w:numPr>
          <w:ilvl w:val="0"/>
          <w:numId w:val="1004"/>
        </w:numPr>
      </w:pPr>
      <w:r>
        <w:t xml:space="preserve">Performance: Revenue quality, retention, and marketing outcomes.</w:t>
      </w:r>
    </w:p>
    <w:p>
      <w:pPr>
        <w:pStyle w:val="Compact"/>
        <w:numPr>
          <w:ilvl w:val="0"/>
          <w:numId w:val="1004"/>
        </w:numPr>
      </w:pPr>
      <w:r>
        <w:t xml:space="preserve">Durability: Governance quality, talent resilience, and risk posture.</w:t>
      </w:r>
    </w:p>
    <w:bookmarkStart w:id="12" w:name="hard-target-thresholds-36-month"/>
    <w:p>
      <w:pPr>
        <w:pStyle w:val="Heading3"/>
      </w:pPr>
      <w:r>
        <w:t xml:space="preserve">3.1 Hard Target Thresholds (36-month)</w:t>
      </w:r>
    </w:p>
    <w:p>
      <w:pPr>
        <w:pStyle w:val="Compact"/>
        <w:numPr>
          <w:ilvl w:val="0"/>
          <w:numId w:val="1005"/>
        </w:numPr>
      </w:pPr>
      <w:r>
        <w:t xml:space="preserve">1,000,000+ entities with Awaricon verification checks/month.</w:t>
      </w:r>
    </w:p>
    <w:p>
      <w:pPr>
        <w:pStyle w:val="Compact"/>
        <w:numPr>
          <w:ilvl w:val="0"/>
          <w:numId w:val="1005"/>
        </w:numPr>
      </w:pPr>
      <w:r>
        <w:t xml:space="preserve">5,000+ certified organizations with active status.</w:t>
      </w:r>
    </w:p>
    <w:p>
      <w:pPr>
        <w:pStyle w:val="Compact"/>
        <w:numPr>
          <w:ilvl w:val="0"/>
          <w:numId w:val="1005"/>
        </w:numPr>
      </w:pPr>
      <w:r>
        <w:t xml:space="preserve">90+ weighted Trust Score (independent audit + NPS + complaint profile).</w:t>
      </w:r>
    </w:p>
    <w:p>
      <w:pPr>
        <w:pStyle w:val="Compact"/>
        <w:numPr>
          <w:ilvl w:val="0"/>
          <w:numId w:val="1005"/>
        </w:numPr>
      </w:pPr>
      <w:r>
        <w:t xml:space="preserve">Top-3 search visibility globally for proof-of-presence and ethical growth terms.</w:t>
      </w:r>
    </w:p>
    <w:p>
      <w:pPr>
        <w:pStyle w:val="Compact"/>
        <w:numPr>
          <w:ilvl w:val="0"/>
          <w:numId w:val="1005"/>
        </w:numPr>
      </w:pPr>
      <w:r>
        <w:t xml:space="preserve">95%+ retention across strategic accounts.</w:t>
      </w:r>
    </w:p>
    <w:p>
      <w:pPr>
        <w:pStyle w:val="Compact"/>
        <w:numPr>
          <w:ilvl w:val="0"/>
          <w:numId w:val="1005"/>
        </w:numPr>
      </w:pPr>
      <w:r>
        <w:t xml:space="preserve">Public quarterly transparency reports with external review.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8" w:name="X6e76f79a455c61f1222396ef0a992423b7f9d62"/>
    <w:p>
      <w:pPr>
        <w:pStyle w:val="Heading2"/>
      </w:pPr>
      <w:r>
        <w:t xml:space="preserve">4) Paperclip-Driven Operating System (How We Actually Execute)</w:t>
      </w:r>
    </w:p>
    <w:p>
      <w:pPr>
        <w:pStyle w:val="FirstParagraph"/>
      </w:pPr>
      <w:r>
        <w:t xml:space="preserve">Paperclip is not optional tooling here; it is the execution spine.</w:t>
      </w:r>
    </w:p>
    <w:bookmarkStart w:id="14" w:name="organizational-topology-in-paperclip"/>
    <w:p>
      <w:pPr>
        <w:pStyle w:val="Heading3"/>
      </w:pPr>
      <w:r>
        <w:t xml:space="preserve">4.1 Organizational Topology in Paperclip</w:t>
      </w:r>
    </w:p>
    <w:p>
      <w:pPr>
        <w:pStyle w:val="FirstParagraph"/>
      </w:pPr>
      <w:r>
        <w:t xml:space="preserve">Create an agent company structure with explicit chain-of-command:</w:t>
      </w:r>
    </w:p>
    <w:p>
      <w:pPr>
        <w:pStyle w:val="Compact"/>
        <w:numPr>
          <w:ilvl w:val="0"/>
          <w:numId w:val="1006"/>
        </w:numPr>
      </w:pPr>
      <w:r>
        <w:t xml:space="preserve">CEO Agent: Strategic approvals, category bets, external narrative.</w:t>
      </w:r>
    </w:p>
    <w:p>
      <w:pPr>
        <w:pStyle w:val="Compact"/>
        <w:numPr>
          <w:ilvl w:val="0"/>
          <w:numId w:val="1006"/>
        </w:numPr>
      </w:pPr>
      <w:r>
        <w:t xml:space="preserve">CMO Agent: Growth strategy, campaigns, partnerships, media.</w:t>
      </w:r>
    </w:p>
    <w:p>
      <w:pPr>
        <w:pStyle w:val="Compact"/>
        <w:numPr>
          <w:ilvl w:val="0"/>
          <w:numId w:val="1006"/>
        </w:numPr>
      </w:pPr>
      <w:r>
        <w:t xml:space="preserve">CSO Agent: Standards and policy influence, institutional relationships.</w:t>
      </w:r>
    </w:p>
    <w:p>
      <w:pPr>
        <w:pStyle w:val="Compact"/>
        <w:numPr>
          <w:ilvl w:val="0"/>
          <w:numId w:val="1006"/>
        </w:numPr>
      </w:pPr>
      <w:r>
        <w:t xml:space="preserve">CRO Agent: Revenue architecture, pricing, enterprise conversion.</w:t>
      </w:r>
    </w:p>
    <w:p>
      <w:pPr>
        <w:pStyle w:val="Compact"/>
        <w:numPr>
          <w:ilvl w:val="0"/>
          <w:numId w:val="1006"/>
        </w:numPr>
      </w:pPr>
      <w:r>
        <w:t xml:space="preserve">CTO Agent: Product platform, instrumentation, reliability.</w:t>
      </w:r>
    </w:p>
    <w:p>
      <w:pPr>
        <w:pStyle w:val="Compact"/>
        <w:numPr>
          <w:ilvl w:val="0"/>
          <w:numId w:val="1006"/>
        </w:numPr>
      </w:pPr>
      <w:r>
        <w:t xml:space="preserve">CPO Agent: Awaricon product direction and badge ecosystem.</w:t>
      </w:r>
    </w:p>
    <w:p>
      <w:pPr>
        <w:pStyle w:val="Compact"/>
        <w:numPr>
          <w:ilvl w:val="0"/>
          <w:numId w:val="1006"/>
        </w:numPr>
      </w:pPr>
      <w:r>
        <w:t xml:space="preserve">Evidence Lead Agent: Research protocol, claims validation, dashboards.</w:t>
      </w:r>
    </w:p>
    <w:p>
      <w:pPr>
        <w:pStyle w:val="Compact"/>
        <w:numPr>
          <w:ilvl w:val="0"/>
          <w:numId w:val="1006"/>
        </w:numPr>
      </w:pPr>
      <w:r>
        <w:t xml:space="preserve">Governance Lead Agent: Manifesto compliance and red-team ethics.</w:t>
      </w:r>
    </w:p>
    <w:p>
      <w:pPr>
        <w:pStyle w:val="Compact"/>
        <w:numPr>
          <w:ilvl w:val="0"/>
          <w:numId w:val="1006"/>
        </w:numPr>
      </w:pPr>
      <w:r>
        <w:t xml:space="preserve">Content Lab Agents: SEO, editorial, social, video, multilingual.</w:t>
      </w:r>
    </w:p>
    <w:p>
      <w:pPr>
        <w:pStyle w:val="Compact"/>
        <w:numPr>
          <w:ilvl w:val="0"/>
          <w:numId w:val="1006"/>
        </w:numPr>
      </w:pPr>
      <w:r>
        <w:t xml:space="preserve">Outreach Pod Agents: NGO, media, tech, education, public sector verticals.</w:t>
      </w:r>
    </w:p>
    <w:bookmarkEnd w:id="14"/>
    <w:bookmarkStart w:id="15" w:name="paperclip-objects-and-their-purpose"/>
    <w:p>
      <w:pPr>
        <w:pStyle w:val="Heading3"/>
      </w:pPr>
      <w:r>
        <w:t xml:space="preserve">4.2 Paperclip Objects and Their Purpose</w:t>
      </w:r>
    </w:p>
    <w:p>
      <w:pPr>
        <w:pStyle w:val="Compact"/>
        <w:numPr>
          <w:ilvl w:val="0"/>
          <w:numId w:val="1007"/>
        </w:numPr>
      </w:pPr>
      <w:r>
        <w:t xml:space="preserve">Goals: Annual strategic outcomes (example: “Global trust standard adoption”).</w:t>
      </w:r>
    </w:p>
    <w:p>
      <w:pPr>
        <w:pStyle w:val="Compact"/>
        <w:numPr>
          <w:ilvl w:val="0"/>
          <w:numId w:val="1007"/>
        </w:numPr>
      </w:pPr>
      <w:r>
        <w:t xml:space="preserve">Projects: Multi-quarter programs per workstream.</w:t>
      </w:r>
    </w:p>
    <w:p>
      <w:pPr>
        <w:pStyle w:val="Compact"/>
        <w:numPr>
          <w:ilvl w:val="0"/>
          <w:numId w:val="1007"/>
        </w:numPr>
      </w:pPr>
      <w:r>
        <w:t xml:space="preserve">Issues: Atomic execution tasks with owner, blockers, and evidence.</w:t>
      </w:r>
    </w:p>
    <w:p>
      <w:pPr>
        <w:pStyle w:val="Compact"/>
        <w:numPr>
          <w:ilvl w:val="0"/>
          <w:numId w:val="1007"/>
        </w:numPr>
      </w:pPr>
      <w:r>
        <w:t xml:space="preserve">Documents: Plan, spec, review, risk register bound to each issue.</w:t>
      </w:r>
    </w:p>
    <w:p>
      <w:pPr>
        <w:pStyle w:val="Compact"/>
        <w:numPr>
          <w:ilvl w:val="0"/>
          <w:numId w:val="1007"/>
        </w:numPr>
      </w:pPr>
      <w:r>
        <w:t xml:space="preserve">Routines: Recurring heartbeat work (daily KPI review, weekly risk scan, monthly partner scorecards).</w:t>
      </w:r>
    </w:p>
    <w:bookmarkEnd w:id="15"/>
    <w:bookmarkStart w:id="16" w:name="required-paperclip-governance-rules"/>
    <w:p>
      <w:pPr>
        <w:pStyle w:val="Heading3"/>
      </w:pPr>
      <w:r>
        <w:t xml:space="preserve">4.3 Required Paperclip Governance Rules</w:t>
      </w:r>
    </w:p>
    <w:p>
      <w:pPr>
        <w:pStyle w:val="Compact"/>
        <w:numPr>
          <w:ilvl w:val="0"/>
          <w:numId w:val="1008"/>
        </w:numPr>
      </w:pPr>
      <w:r>
        <w:t xml:space="preserve">All mutating tasks must emit activity logs.</w:t>
      </w:r>
    </w:p>
    <w:p>
      <w:pPr>
        <w:pStyle w:val="Compact"/>
        <w:numPr>
          <w:ilvl w:val="0"/>
          <w:numId w:val="1008"/>
        </w:numPr>
      </w:pPr>
      <w:r>
        <w:t xml:space="preserve">Every blocked issue must include explicit blocker entity.</w:t>
      </w:r>
    </w:p>
    <w:p>
      <w:pPr>
        <w:pStyle w:val="Compact"/>
        <w:numPr>
          <w:ilvl w:val="0"/>
          <w:numId w:val="1008"/>
        </w:numPr>
      </w:pPr>
      <w:r>
        <w:t xml:space="preserve">No work starts without checkout semantics.</w:t>
      </w:r>
    </w:p>
    <w:p>
      <w:pPr>
        <w:pStyle w:val="Compact"/>
        <w:numPr>
          <w:ilvl w:val="0"/>
          <w:numId w:val="1008"/>
        </w:numPr>
      </w:pPr>
      <w:r>
        <w:t xml:space="preserve">Every strategic claim issue must include evidence document key.</w:t>
      </w:r>
    </w:p>
    <w:p>
      <w:pPr>
        <w:pStyle w:val="Compact"/>
        <w:numPr>
          <w:ilvl w:val="0"/>
          <w:numId w:val="1008"/>
        </w:numPr>
      </w:pPr>
      <w:r>
        <w:t xml:space="preserve">Approval gates required for policy, pricing, and public narrative changes.</w:t>
      </w:r>
    </w:p>
    <w:bookmarkEnd w:id="16"/>
    <w:bookmarkStart w:id="17" w:name="core-routine-set"/>
    <w:p>
      <w:pPr>
        <w:pStyle w:val="Heading3"/>
      </w:pPr>
      <w:r>
        <w:t xml:space="preserve">4.4 Core Routine Set</w:t>
      </w:r>
    </w:p>
    <w:p>
      <w:pPr>
        <w:pStyle w:val="Compact"/>
        <w:numPr>
          <w:ilvl w:val="0"/>
          <w:numId w:val="1009"/>
        </w:numPr>
      </w:pPr>
      <w:r>
        <w:t xml:space="preserve">Daily 07:30 UTC: Growth telemetry anomaly routine.</w:t>
      </w:r>
    </w:p>
    <w:p>
      <w:pPr>
        <w:pStyle w:val="Compact"/>
        <w:numPr>
          <w:ilvl w:val="0"/>
          <w:numId w:val="1009"/>
        </w:numPr>
      </w:pPr>
      <w:r>
        <w:t xml:space="preserve">Daily 10:00 UTC: Manifesto compliance drift routine.</w:t>
      </w:r>
    </w:p>
    <w:p>
      <w:pPr>
        <w:pStyle w:val="Compact"/>
        <w:numPr>
          <w:ilvl w:val="0"/>
          <w:numId w:val="1009"/>
        </w:numPr>
      </w:pPr>
      <w:r>
        <w:t xml:space="preserve">Weekly Monday: Pipeline health and conversion bottleneck routine.</w:t>
      </w:r>
    </w:p>
    <w:p>
      <w:pPr>
        <w:pStyle w:val="Compact"/>
        <w:numPr>
          <w:ilvl w:val="0"/>
          <w:numId w:val="1009"/>
        </w:numPr>
      </w:pPr>
      <w:r>
        <w:t xml:space="preserve">Weekly Wednesday: Institutional outreach follow-up routine.</w:t>
      </w:r>
    </w:p>
    <w:p>
      <w:pPr>
        <w:pStyle w:val="Compact"/>
        <w:numPr>
          <w:ilvl w:val="0"/>
          <w:numId w:val="1009"/>
        </w:numPr>
      </w:pPr>
      <w:r>
        <w:t xml:space="preserve">Weekly Friday: Transparency draft delta routine.</w:t>
      </w:r>
    </w:p>
    <w:p>
      <w:pPr>
        <w:pStyle w:val="Compact"/>
        <w:numPr>
          <w:ilvl w:val="0"/>
          <w:numId w:val="1009"/>
        </w:numPr>
      </w:pPr>
      <w:r>
        <w:t xml:space="preserve">Monthly day 1: KPI baseline reconciliation routine.</w:t>
      </w:r>
    </w:p>
    <w:p>
      <w:pPr>
        <w:pStyle w:val="Compact"/>
        <w:numPr>
          <w:ilvl w:val="0"/>
          <w:numId w:val="1009"/>
        </w:numPr>
      </w:pPr>
      <w:r>
        <w:t xml:space="preserve">Monthly day 3: Risk and incident rehearsal routine.</w:t>
      </w:r>
    </w:p>
    <w:p>
      <w:pPr>
        <w:pStyle w:val="Compact"/>
        <w:numPr>
          <w:ilvl w:val="0"/>
          <w:numId w:val="1009"/>
        </w:numPr>
      </w:pPr>
      <w:r>
        <w:t xml:space="preserve">Quarterly day 5: Standards and policy influence review routine.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X273cbb7b74af807fb249b098abf254b9bdcd9c3"/>
    <w:p>
      <w:pPr>
        <w:pStyle w:val="Heading2"/>
      </w:pPr>
      <w:r>
        <w:t xml:space="preserve">5) Phase Architecture (PhD++++++ Multi-System Strategy)</w:t>
      </w:r>
    </w:p>
    <w:bookmarkEnd w:id="19"/>
    <w:bookmarkStart w:id="20" w:name="X8ebd8af35a48acd29fd8d1cd6930e8cfbde5d04"/>
    <w:p>
      <w:pPr>
        <w:pStyle w:val="Heading2"/>
      </w:pPr>
      <w:r>
        <w:t xml:space="preserve">Phase 0: Constitutional Baseline and Instrumentation (Weeks 0-2)</w:t>
      </w:r>
    </w:p>
    <w:p>
      <w:pPr>
        <w:pStyle w:val="FirstParagraph"/>
      </w:pPr>
      <w:r>
        <w:t xml:space="preserve">Objective: Make execution measurable, auditable, and manifesto-safe from day one.</w:t>
      </w:r>
    </w:p>
    <w:p>
      <w:pPr>
        <w:pStyle w:val="BodyText"/>
      </w:pPr>
      <w:r>
        <w:t xml:space="preserve">Workstreams:</w:t>
      </w:r>
    </w:p>
    <w:p>
      <w:pPr>
        <w:pStyle w:val="Compact"/>
        <w:numPr>
          <w:ilvl w:val="0"/>
          <w:numId w:val="1010"/>
        </w:numPr>
      </w:pPr>
      <w:r>
        <w:t xml:space="preserve">Create a Manifesto Control Matrix mapped to all growth funnels.</w:t>
      </w:r>
    </w:p>
    <w:p>
      <w:pPr>
        <w:pStyle w:val="Compact"/>
        <w:numPr>
          <w:ilvl w:val="0"/>
          <w:numId w:val="1010"/>
        </w:numPr>
      </w:pPr>
      <w:r>
        <w:t xml:space="preserve">Complete KPI data dictionary and baseline capture.</w:t>
      </w:r>
    </w:p>
    <w:p>
      <w:pPr>
        <w:pStyle w:val="Compact"/>
        <w:numPr>
          <w:ilvl w:val="0"/>
          <w:numId w:val="1010"/>
        </w:numPr>
      </w:pPr>
      <w:r>
        <w:t xml:space="preserve">Implement transparent experimentation protocol.</w:t>
      </w:r>
    </w:p>
    <w:p>
      <w:pPr>
        <w:pStyle w:val="Compact"/>
        <w:numPr>
          <w:ilvl w:val="0"/>
          <w:numId w:val="1010"/>
        </w:numPr>
      </w:pPr>
      <w:r>
        <w:t xml:space="preserve">Set Paperclip workflows for issue lifecycle and approvals.</w:t>
      </w:r>
    </w:p>
    <w:p>
      <w:pPr>
        <w:pStyle w:val="FirstParagraph"/>
      </w:pPr>
      <w:r>
        <w:t xml:space="preserve">Deliverables:</w:t>
      </w:r>
    </w:p>
    <w:p>
      <w:pPr>
        <w:pStyle w:val="Compact"/>
        <w:numPr>
          <w:ilvl w:val="0"/>
          <w:numId w:val="1011"/>
        </w:numPr>
      </w:pPr>
      <w:r>
        <w:t xml:space="preserve">Baseline dashboard for trust, adoption, and conversion.</w:t>
      </w:r>
    </w:p>
    <w:p>
      <w:pPr>
        <w:pStyle w:val="Compact"/>
        <w:numPr>
          <w:ilvl w:val="0"/>
          <w:numId w:val="1011"/>
        </w:numPr>
      </w:pPr>
      <w:r>
        <w:t xml:space="preserve">Red-flag rulebook for disallowed growth tactics.</w:t>
      </w:r>
    </w:p>
    <w:p>
      <w:pPr>
        <w:pStyle w:val="Compact"/>
        <w:numPr>
          <w:ilvl w:val="0"/>
          <w:numId w:val="1011"/>
        </w:numPr>
      </w:pPr>
      <w:r>
        <w:t xml:space="preserve">Issue templates for campaign, partnership, product, research.</w:t>
      </w:r>
    </w:p>
    <w:p>
      <w:pPr>
        <w:pStyle w:val="FirstParagraph"/>
      </w:pPr>
      <w:r>
        <w:t xml:space="preserve">Exit criteria:</w:t>
      </w:r>
    </w:p>
    <w:p>
      <w:pPr>
        <w:pStyle w:val="Compact"/>
        <w:numPr>
          <w:ilvl w:val="0"/>
          <w:numId w:val="1012"/>
        </w:numPr>
      </w:pPr>
      <w:r>
        <w:t xml:space="preserve">100% of live campaigns tagged with principle mapping.</w:t>
      </w:r>
    </w:p>
    <w:p>
      <w:pPr>
        <w:pStyle w:val="Compact"/>
        <w:numPr>
          <w:ilvl w:val="0"/>
          <w:numId w:val="1012"/>
        </w:numPr>
      </w:pPr>
      <w:r>
        <w:t xml:space="preserve">100% of key metrics with owners and refresh cadence.</w:t>
      </w:r>
    </w:p>
    <w:p>
      <w:r>
        <w:pict>
          <v:rect style="width:0;height:1.5pt" o:hralign="center" o:hrstd="t" o:hr="t"/>
        </w:pict>
      </w:r>
    </w:p>
    <w:bookmarkEnd w:id="20"/>
    <w:bookmarkStart w:id="21" w:name="phase-1-epistemic-dominance-weeks-2-12"/>
    <w:p>
      <w:pPr>
        <w:pStyle w:val="Heading2"/>
      </w:pPr>
      <w:r>
        <w:t xml:space="preserve">Phase 1: Epistemic Dominance (Weeks 2-12)</w:t>
      </w:r>
    </w:p>
    <w:p>
      <w:pPr>
        <w:pStyle w:val="FirstParagraph"/>
      </w:pPr>
      <w:r>
        <w:t xml:space="preserve">Objective: Become the most scientifically credible voice in ethical growth and proof-of-presence.</w:t>
      </w:r>
    </w:p>
    <w:p>
      <w:pPr>
        <w:pStyle w:val="BodyText"/>
      </w:pPr>
      <w:r>
        <w:t xml:space="preserve">Hypothesis:</w:t>
      </w:r>
    </w:p>
    <w:p>
      <w:pPr>
        <w:pStyle w:val="Compact"/>
        <w:numPr>
          <w:ilvl w:val="0"/>
          <w:numId w:val="1013"/>
        </w:numPr>
      </w:pPr>
      <w:r>
        <w:t xml:space="preserve">In a post-AI trust collapse, standards-backed claims beat brand-only claims.</w:t>
      </w:r>
    </w:p>
    <w:p>
      <w:pPr>
        <w:pStyle w:val="FirstParagraph"/>
      </w:pPr>
      <w:r>
        <w:t xml:space="preserve">Actions:</w:t>
      </w:r>
    </w:p>
    <w:p>
      <w:pPr>
        <w:pStyle w:val="Compact"/>
        <w:numPr>
          <w:ilvl w:val="0"/>
          <w:numId w:val="1014"/>
        </w:numPr>
      </w:pPr>
      <w:r>
        <w:t xml:space="preserve">Publish the Awaricon technical standard document (RFC style).</w:t>
      </w:r>
    </w:p>
    <w:p>
      <w:pPr>
        <w:pStyle w:val="Compact"/>
        <w:numPr>
          <w:ilvl w:val="0"/>
          <w:numId w:val="1014"/>
        </w:numPr>
      </w:pPr>
      <w:r>
        <w:t xml:space="preserve">Submit white papers to targeted journals.</w:t>
      </w:r>
    </w:p>
    <w:p>
      <w:pPr>
        <w:pStyle w:val="Compact"/>
        <w:numPr>
          <w:ilvl w:val="0"/>
          <w:numId w:val="1014"/>
        </w:numPr>
      </w:pPr>
      <w:r>
        <w:t xml:space="preserve">Launch open methods repository for scoring logic and validation process.</w:t>
      </w:r>
    </w:p>
    <w:p>
      <w:pPr>
        <w:pStyle w:val="Compact"/>
        <w:numPr>
          <w:ilvl w:val="0"/>
          <w:numId w:val="1014"/>
        </w:numPr>
      </w:pPr>
      <w:r>
        <w:t xml:space="preserve">Build an external advisory network (academia + ethics + security).</w:t>
      </w:r>
    </w:p>
    <w:p>
      <w:pPr>
        <w:pStyle w:val="FirstParagraph"/>
      </w:pPr>
      <w:r>
        <w:t xml:space="preserve">Paperclip implementation:</w:t>
      </w:r>
    </w:p>
    <w:p>
      <w:pPr>
        <w:pStyle w:val="Compact"/>
        <w:numPr>
          <w:ilvl w:val="0"/>
          <w:numId w:val="1015"/>
        </w:numPr>
      </w:pPr>
      <w:r>
        <w:t xml:space="preserve">Goal: “Institutional credibility engine”.</w:t>
      </w:r>
    </w:p>
    <w:p>
      <w:pPr>
        <w:pStyle w:val="Compact"/>
        <w:numPr>
          <w:ilvl w:val="0"/>
          <w:numId w:val="1015"/>
        </w:numPr>
      </w:pPr>
      <w:r>
        <w:t xml:space="preserve">Projects:</w:t>
      </w:r>
    </w:p>
    <w:p>
      <w:pPr>
        <w:pStyle w:val="Compact"/>
        <w:numPr>
          <w:ilvl w:val="1"/>
          <w:numId w:val="1016"/>
        </w:numPr>
      </w:pPr>
      <w:r>
        <w:t xml:space="preserve">Journal pipeline.</w:t>
      </w:r>
    </w:p>
    <w:p>
      <w:pPr>
        <w:pStyle w:val="Compact"/>
        <w:numPr>
          <w:ilvl w:val="1"/>
          <w:numId w:val="1016"/>
        </w:numPr>
      </w:pPr>
      <w:r>
        <w:t xml:space="preserve">Standards draft and review.</w:t>
      </w:r>
    </w:p>
    <w:p>
      <w:pPr>
        <w:pStyle w:val="Compact"/>
        <w:numPr>
          <w:ilvl w:val="1"/>
          <w:numId w:val="1016"/>
        </w:numPr>
      </w:pPr>
      <w:r>
        <w:t xml:space="preserve">Research partnerships.</w:t>
      </w:r>
    </w:p>
    <w:p>
      <w:pPr>
        <w:pStyle w:val="Compact"/>
        <w:numPr>
          <w:ilvl w:val="0"/>
          <w:numId w:val="1015"/>
        </w:numPr>
      </w:pPr>
      <w:r>
        <w:t xml:space="preserve">Routines:</w:t>
      </w:r>
    </w:p>
    <w:p>
      <w:pPr>
        <w:pStyle w:val="Compact"/>
        <w:numPr>
          <w:ilvl w:val="1"/>
          <w:numId w:val="1017"/>
        </w:numPr>
      </w:pPr>
      <w:r>
        <w:t xml:space="preserve">Weekly citation acquisition.</w:t>
      </w:r>
    </w:p>
    <w:p>
      <w:pPr>
        <w:pStyle w:val="Compact"/>
        <w:numPr>
          <w:ilvl w:val="1"/>
          <w:numId w:val="1017"/>
        </w:numPr>
      </w:pPr>
      <w:r>
        <w:t xml:space="preserve">Monthly peer review prep.</w:t>
      </w:r>
    </w:p>
    <w:p>
      <w:pPr>
        <w:pStyle w:val="FirstParagraph"/>
      </w:pPr>
      <w:r>
        <w:t xml:space="preserve">KPIs:</w:t>
      </w:r>
    </w:p>
    <w:p>
      <w:pPr>
        <w:pStyle w:val="Compact"/>
        <w:numPr>
          <w:ilvl w:val="0"/>
          <w:numId w:val="1018"/>
        </w:numPr>
      </w:pPr>
      <w:r>
        <w:t xml:space="preserve">3-5 institutional co-authorships.</w:t>
      </w:r>
    </w:p>
    <w:p>
      <w:pPr>
        <w:pStyle w:val="Compact"/>
        <w:numPr>
          <w:ilvl w:val="0"/>
          <w:numId w:val="1018"/>
        </w:numPr>
      </w:pPr>
      <w:r>
        <w:t xml:space="preserve">10+ authoritative references acquired in 90 days.</w:t>
      </w:r>
    </w:p>
    <w:p>
      <w:pPr>
        <w:pStyle w:val="Compact"/>
        <w:numPr>
          <w:ilvl w:val="0"/>
          <w:numId w:val="1018"/>
        </w:numPr>
      </w:pPr>
      <w:r>
        <w:t xml:space="preserve">30% increase in trust-qualified inbound leads.</w:t>
      </w:r>
    </w:p>
    <w:p>
      <w:pPr>
        <w:pStyle w:val="FirstParagraph"/>
      </w:pPr>
      <w:r>
        <w:t xml:space="preserve">Exit criteria:</w:t>
      </w:r>
    </w:p>
    <w:p>
      <w:pPr>
        <w:pStyle w:val="Compact"/>
        <w:numPr>
          <w:ilvl w:val="0"/>
          <w:numId w:val="1019"/>
        </w:numPr>
      </w:pPr>
      <w:r>
        <w:t xml:space="preserve">At least one accepted institutional publication track.</w:t>
      </w:r>
    </w:p>
    <w:p>
      <w:pPr>
        <w:pStyle w:val="Compact"/>
        <w:numPr>
          <w:ilvl w:val="0"/>
          <w:numId w:val="1019"/>
        </w:numPr>
      </w:pPr>
      <w:r>
        <w:t xml:space="preserve">Public methodology page with versioned updates.</w:t>
      </w:r>
    </w:p>
    <w:p>
      <w:r>
        <w:pict>
          <v:rect style="width:0;height:1.5pt" o:hralign="center" o:hrstd="t" o:hr="t"/>
        </w:pict>
      </w:r>
    </w:p>
    <w:bookmarkEnd w:id="21"/>
    <w:bookmarkStart w:id="22" w:name="Xec4f8f51dd2283bd5edda84865b4cca52975604"/>
    <w:p>
      <w:pPr>
        <w:pStyle w:val="Heading2"/>
      </w:pPr>
      <w:r>
        <w:t xml:space="preserve">Phase 2: Category Creation and Narrative Capture (Weeks 6-16)</w:t>
      </w:r>
    </w:p>
    <w:p>
      <w:pPr>
        <w:pStyle w:val="FirstParagraph"/>
      </w:pPr>
      <w:r>
        <w:t xml:space="preserve">Objective: Own the category language before competitors define it.</w:t>
      </w:r>
    </w:p>
    <w:p>
      <w:pPr>
        <w:pStyle w:val="BodyText"/>
      </w:pPr>
      <w:r>
        <w:t xml:space="preserve">Core category phrase:</w:t>
      </w:r>
    </w:p>
    <w:p>
      <w:pPr>
        <w:pStyle w:val="Compact"/>
        <w:numPr>
          <w:ilvl w:val="0"/>
          <w:numId w:val="1020"/>
        </w:numPr>
      </w:pPr>
      <w:r>
        <w:t xml:space="preserve">Presence Verification Marketing.</w:t>
      </w:r>
    </w:p>
    <w:p>
      <w:pPr>
        <w:pStyle w:val="FirstParagraph"/>
      </w:pPr>
      <w:r>
        <w:t xml:space="preserve">Narrative pillars:</w:t>
      </w:r>
    </w:p>
    <w:p>
      <w:pPr>
        <w:pStyle w:val="Compact"/>
        <w:numPr>
          <w:ilvl w:val="0"/>
          <w:numId w:val="1021"/>
        </w:numPr>
      </w:pPr>
      <w:r>
        <w:t xml:space="preserve">Trust is the new performance channel.</w:t>
      </w:r>
    </w:p>
    <w:p>
      <w:pPr>
        <w:pStyle w:val="Compact"/>
        <w:numPr>
          <w:ilvl w:val="0"/>
          <w:numId w:val="1021"/>
        </w:numPr>
      </w:pPr>
      <w:r>
        <w:t xml:space="preserve">Verification is the next conversion primitive.</w:t>
      </w:r>
    </w:p>
    <w:p>
      <w:pPr>
        <w:pStyle w:val="Compact"/>
        <w:numPr>
          <w:ilvl w:val="0"/>
          <w:numId w:val="1021"/>
        </w:numPr>
      </w:pPr>
      <w:r>
        <w:t xml:space="preserve">Ethical growth is not slower; it is more durable.</w:t>
      </w:r>
    </w:p>
    <w:p>
      <w:pPr>
        <w:pStyle w:val="FirstParagraph"/>
      </w:pPr>
      <w:r>
        <w:t xml:space="preserve">Actions:</w:t>
      </w:r>
    </w:p>
    <w:p>
      <w:pPr>
        <w:pStyle w:val="Compact"/>
        <w:numPr>
          <w:ilvl w:val="0"/>
          <w:numId w:val="1022"/>
        </w:numPr>
      </w:pPr>
      <w:r>
        <w:t xml:space="preserve">Publish flagship thought pieces (HBR-style, founder letters, policy op-eds).</w:t>
      </w:r>
    </w:p>
    <w:p>
      <w:pPr>
        <w:pStyle w:val="Compact"/>
        <w:numPr>
          <w:ilvl w:val="0"/>
          <w:numId w:val="1022"/>
        </w:numPr>
      </w:pPr>
      <w:r>
        <w:t xml:space="preserve">Launch category glossary and canonical definitions.</w:t>
      </w:r>
    </w:p>
    <w:p>
      <w:pPr>
        <w:pStyle w:val="Compact"/>
        <w:numPr>
          <w:ilvl w:val="0"/>
          <w:numId w:val="1022"/>
        </w:numPr>
      </w:pPr>
      <w:r>
        <w:t xml:space="preserve">Produce visual explainers and benchmark comparison matrix.</w:t>
      </w:r>
    </w:p>
    <w:p>
      <w:pPr>
        <w:pStyle w:val="Compact"/>
        <w:numPr>
          <w:ilvl w:val="0"/>
          <w:numId w:val="1022"/>
        </w:numPr>
      </w:pPr>
      <w:r>
        <w:t xml:space="preserve">Coordinate media appearances in AI ethics and growth forums.</w:t>
      </w:r>
    </w:p>
    <w:p>
      <w:pPr>
        <w:pStyle w:val="FirstParagraph"/>
      </w:pPr>
      <w:r>
        <w:t xml:space="preserve">Paperclip implementation:</w:t>
      </w:r>
    </w:p>
    <w:p>
      <w:pPr>
        <w:pStyle w:val="Compact"/>
        <w:numPr>
          <w:ilvl w:val="0"/>
          <w:numId w:val="1023"/>
        </w:numPr>
      </w:pPr>
      <w:r>
        <w:t xml:space="preserve">Project: Category Narrative System.</w:t>
      </w:r>
    </w:p>
    <w:p>
      <w:pPr>
        <w:pStyle w:val="Compact"/>
        <w:numPr>
          <w:ilvl w:val="0"/>
          <w:numId w:val="1023"/>
        </w:numPr>
      </w:pPr>
      <w:r>
        <w:t xml:space="preserve">Issue bundles:</w:t>
      </w:r>
    </w:p>
    <w:p>
      <w:pPr>
        <w:pStyle w:val="Compact"/>
        <w:numPr>
          <w:ilvl w:val="1"/>
          <w:numId w:val="1024"/>
        </w:numPr>
      </w:pPr>
      <w:r>
        <w:t xml:space="preserve">Pillar content.</w:t>
      </w:r>
    </w:p>
    <w:p>
      <w:pPr>
        <w:pStyle w:val="Compact"/>
        <w:numPr>
          <w:ilvl w:val="1"/>
          <w:numId w:val="1024"/>
        </w:numPr>
      </w:pPr>
      <w:r>
        <w:t xml:space="preserve">Media outreach.</w:t>
      </w:r>
    </w:p>
    <w:p>
      <w:pPr>
        <w:pStyle w:val="Compact"/>
        <w:numPr>
          <w:ilvl w:val="1"/>
          <w:numId w:val="1024"/>
        </w:numPr>
      </w:pPr>
      <w:r>
        <w:t xml:space="preserve">Narrative testing.</w:t>
      </w:r>
    </w:p>
    <w:p>
      <w:pPr>
        <w:pStyle w:val="Compact"/>
        <w:numPr>
          <w:ilvl w:val="0"/>
          <w:numId w:val="1023"/>
        </w:numPr>
      </w:pPr>
      <w:r>
        <w:t xml:space="preserve">Approval gate for all public claims with evidence references.</w:t>
      </w:r>
    </w:p>
    <w:p>
      <w:pPr>
        <w:pStyle w:val="FirstParagraph"/>
      </w:pPr>
      <w:r>
        <w:t xml:space="preserve">KPIs:</w:t>
      </w:r>
    </w:p>
    <w:p>
      <w:pPr>
        <w:pStyle w:val="Compact"/>
        <w:numPr>
          <w:ilvl w:val="0"/>
          <w:numId w:val="1025"/>
        </w:numPr>
      </w:pPr>
      <w:r>
        <w:t xml:space="preserve">Share of voice for category terms in top media mentions.</w:t>
      </w:r>
    </w:p>
    <w:p>
      <w:pPr>
        <w:pStyle w:val="Compact"/>
        <w:numPr>
          <w:ilvl w:val="0"/>
          <w:numId w:val="1025"/>
        </w:numPr>
      </w:pPr>
      <w:r>
        <w:t xml:space="preserve">Branded search growth.</w:t>
      </w:r>
    </w:p>
    <w:p>
      <w:pPr>
        <w:pStyle w:val="Compact"/>
        <w:numPr>
          <w:ilvl w:val="0"/>
          <w:numId w:val="1025"/>
        </w:numPr>
      </w:pPr>
      <w:r>
        <w:t xml:space="preserve">Content citation rate by external publications.</w:t>
      </w:r>
    </w:p>
    <w:p>
      <w:pPr>
        <w:pStyle w:val="FirstParagraph"/>
      </w:pPr>
      <w:r>
        <w:t xml:space="preserve">Exit criteria:</w:t>
      </w:r>
    </w:p>
    <w:p>
      <w:pPr>
        <w:pStyle w:val="Compact"/>
        <w:numPr>
          <w:ilvl w:val="0"/>
          <w:numId w:val="1026"/>
        </w:numPr>
      </w:pPr>
      <w:r>
        <w:t xml:space="preserve">Forever Lotus appears in top discourse for category keywords.</w:t>
      </w:r>
    </w:p>
    <w:p>
      <w:pPr>
        <w:pStyle w:val="Compact"/>
        <w:numPr>
          <w:ilvl w:val="0"/>
          <w:numId w:val="1026"/>
        </w:numPr>
      </w:pPr>
      <w:r>
        <w:t xml:space="preserve">Category terms used by third parties without prompting.</w:t>
      </w:r>
    </w:p>
    <w:p>
      <w:r>
        <w:pict>
          <v:rect style="width:0;height:1.5pt" o:hralign="center" o:hrstd="t" o:hr="t"/>
        </w:pict>
      </w:r>
    </w:p>
    <w:bookmarkEnd w:id="22"/>
    <w:bookmarkStart w:id="23" w:name="X5163b3e32fee80ff92307f7fde18217c22aedc5"/>
    <w:p>
      <w:pPr>
        <w:pStyle w:val="Heading2"/>
      </w:pPr>
      <w:r>
        <w:t xml:space="preserve">Phase 3: Anchor Market Conquest (Weeks 8-24)</w:t>
      </w:r>
    </w:p>
    <w:p>
      <w:pPr>
        <w:pStyle w:val="FirstParagraph"/>
      </w:pPr>
      <w:r>
        <w:t xml:space="preserve">Objective: Convert high-trust organizations into visible proof nodes.</w:t>
      </w:r>
    </w:p>
    <w:p>
      <w:pPr>
        <w:pStyle w:val="BodyText"/>
      </w:pPr>
      <w:r>
        <w:t xml:space="preserve">Target verticals:</w:t>
      </w:r>
    </w:p>
    <w:p>
      <w:pPr>
        <w:pStyle w:val="Compact"/>
        <w:numPr>
          <w:ilvl w:val="0"/>
          <w:numId w:val="1027"/>
        </w:numPr>
      </w:pPr>
      <w:r>
        <w:t xml:space="preserve">NGOs and humanitarian institutions.</w:t>
      </w:r>
    </w:p>
    <w:p>
      <w:pPr>
        <w:pStyle w:val="Compact"/>
        <w:numPr>
          <w:ilvl w:val="0"/>
          <w:numId w:val="1027"/>
        </w:numPr>
      </w:pPr>
      <w:r>
        <w:t xml:space="preserve">Media and publishing.</w:t>
      </w:r>
    </w:p>
    <w:p>
      <w:pPr>
        <w:pStyle w:val="Compact"/>
        <w:numPr>
          <w:ilvl w:val="0"/>
          <w:numId w:val="1027"/>
        </w:numPr>
      </w:pPr>
      <w:r>
        <w:t xml:space="preserve">Ethical SaaS and fintech.</w:t>
      </w:r>
    </w:p>
    <w:p>
      <w:pPr>
        <w:pStyle w:val="Compact"/>
        <w:numPr>
          <w:ilvl w:val="0"/>
          <w:numId w:val="1027"/>
        </w:numPr>
      </w:pPr>
      <w:r>
        <w:t xml:space="preserve">Education and research institutions.</w:t>
      </w:r>
    </w:p>
    <w:p>
      <w:pPr>
        <w:pStyle w:val="Compact"/>
        <w:numPr>
          <w:ilvl w:val="0"/>
          <w:numId w:val="1027"/>
        </w:numPr>
      </w:pPr>
      <w:r>
        <w:t xml:space="preserve">Public-interest brands and B-Corp ecosystems.</w:t>
      </w:r>
    </w:p>
    <w:p>
      <w:pPr>
        <w:pStyle w:val="FirstParagraph"/>
      </w:pPr>
      <w:r>
        <w:t xml:space="preserve">Actions:</w:t>
      </w:r>
    </w:p>
    <w:p>
      <w:pPr>
        <w:pStyle w:val="Compact"/>
        <w:numPr>
          <w:ilvl w:val="0"/>
          <w:numId w:val="1028"/>
        </w:numPr>
      </w:pPr>
      <w:r>
        <w:t xml:space="preserve">Execute anchor outreach playbook with personalized value narratives.</w:t>
      </w:r>
    </w:p>
    <w:p>
      <w:pPr>
        <w:pStyle w:val="Compact"/>
        <w:numPr>
          <w:ilvl w:val="0"/>
          <w:numId w:val="1028"/>
        </w:numPr>
      </w:pPr>
      <w:r>
        <w:t xml:space="preserve">Offer founding cohort with strict criteria and public accountability.</w:t>
      </w:r>
    </w:p>
    <w:p>
      <w:pPr>
        <w:pStyle w:val="Compact"/>
        <w:numPr>
          <w:ilvl w:val="0"/>
          <w:numId w:val="1028"/>
        </w:numPr>
      </w:pPr>
      <w:r>
        <w:t xml:space="preserve">Build case studies that quantify fraud reduction, trust lift, and conversion gain.</w:t>
      </w:r>
    </w:p>
    <w:p>
      <w:pPr>
        <w:pStyle w:val="Compact"/>
        <w:numPr>
          <w:ilvl w:val="0"/>
          <w:numId w:val="1028"/>
        </w:numPr>
      </w:pPr>
      <w:r>
        <w:t xml:space="preserve">Introduce executive advisory council from anchor organizations.</w:t>
      </w:r>
    </w:p>
    <w:p>
      <w:pPr>
        <w:pStyle w:val="FirstParagraph"/>
      </w:pPr>
      <w:r>
        <w:t xml:space="preserve">Paperclip implementation:</w:t>
      </w:r>
    </w:p>
    <w:p>
      <w:pPr>
        <w:pStyle w:val="Compact"/>
        <w:numPr>
          <w:ilvl w:val="0"/>
          <w:numId w:val="1029"/>
        </w:numPr>
      </w:pPr>
      <w:r>
        <w:t xml:space="preserve">Project: Anchor 50 Program.</w:t>
      </w:r>
    </w:p>
    <w:p>
      <w:pPr>
        <w:pStyle w:val="Compact"/>
        <w:numPr>
          <w:ilvl w:val="0"/>
          <w:numId w:val="1029"/>
        </w:numPr>
      </w:pPr>
      <w:r>
        <w:t xml:space="preserve">Issue types:</w:t>
      </w:r>
    </w:p>
    <w:p>
      <w:pPr>
        <w:pStyle w:val="Compact"/>
        <w:numPr>
          <w:ilvl w:val="1"/>
          <w:numId w:val="1030"/>
        </w:numPr>
      </w:pPr>
      <w:r>
        <w:t xml:space="preserve">Prospect profiling.</w:t>
      </w:r>
    </w:p>
    <w:p>
      <w:pPr>
        <w:pStyle w:val="Compact"/>
        <w:numPr>
          <w:ilvl w:val="1"/>
          <w:numId w:val="1030"/>
        </w:numPr>
      </w:pPr>
      <w:r>
        <w:t xml:space="preserve">Outreach sequence.</w:t>
      </w:r>
    </w:p>
    <w:p>
      <w:pPr>
        <w:pStyle w:val="Compact"/>
        <w:numPr>
          <w:ilvl w:val="1"/>
          <w:numId w:val="1030"/>
        </w:numPr>
      </w:pPr>
      <w:r>
        <w:t xml:space="preserve">Demo and objection handling.</w:t>
      </w:r>
    </w:p>
    <w:p>
      <w:pPr>
        <w:pStyle w:val="Compact"/>
        <w:numPr>
          <w:ilvl w:val="1"/>
          <w:numId w:val="1030"/>
        </w:numPr>
      </w:pPr>
      <w:r>
        <w:t xml:space="preserve">Contract and onboarding.</w:t>
      </w:r>
    </w:p>
    <w:p>
      <w:pPr>
        <w:pStyle w:val="Compact"/>
        <w:numPr>
          <w:ilvl w:val="0"/>
          <w:numId w:val="1029"/>
        </w:numPr>
      </w:pPr>
      <w:r>
        <w:t xml:space="preserve">Routine: daily pipeline triage and blocker escalation.</w:t>
      </w:r>
    </w:p>
    <w:p>
      <w:pPr>
        <w:pStyle w:val="FirstParagraph"/>
      </w:pPr>
      <w:r>
        <w:t xml:space="preserve">KPIs:</w:t>
      </w:r>
    </w:p>
    <w:p>
      <w:pPr>
        <w:pStyle w:val="Compact"/>
        <w:numPr>
          <w:ilvl w:val="0"/>
          <w:numId w:val="1031"/>
        </w:numPr>
      </w:pPr>
      <w:r>
        <w:t xml:space="preserve">50 anchor prospects fully profiled.</w:t>
      </w:r>
    </w:p>
    <w:p>
      <w:pPr>
        <w:pStyle w:val="Compact"/>
        <w:numPr>
          <w:ilvl w:val="0"/>
          <w:numId w:val="1031"/>
        </w:numPr>
      </w:pPr>
      <w:r>
        <w:t xml:space="preserve">15 pilot agreements.</w:t>
      </w:r>
    </w:p>
    <w:p>
      <w:pPr>
        <w:pStyle w:val="Compact"/>
        <w:numPr>
          <w:ilvl w:val="0"/>
          <w:numId w:val="1031"/>
        </w:numPr>
      </w:pPr>
      <w:r>
        <w:t xml:space="preserve">10 published case studies.</w:t>
      </w:r>
    </w:p>
    <w:p>
      <w:pPr>
        <w:pStyle w:val="Compact"/>
        <w:numPr>
          <w:ilvl w:val="0"/>
          <w:numId w:val="1031"/>
        </w:numPr>
      </w:pPr>
      <w:r>
        <w:t xml:space="preserve">3 lighthouse accounts per vertical.</w:t>
      </w:r>
    </w:p>
    <w:p>
      <w:pPr>
        <w:pStyle w:val="FirstParagraph"/>
      </w:pPr>
      <w:r>
        <w:t xml:space="preserve">Exit criteria:</w:t>
      </w:r>
    </w:p>
    <w:p>
      <w:pPr>
        <w:pStyle w:val="Compact"/>
        <w:numPr>
          <w:ilvl w:val="0"/>
          <w:numId w:val="1032"/>
        </w:numPr>
      </w:pPr>
      <w:r>
        <w:t xml:space="preserve">At least 25 active high-credibility implementations.</w:t>
      </w:r>
    </w:p>
    <w:p>
      <w:pPr>
        <w:pStyle w:val="Compact"/>
        <w:numPr>
          <w:ilvl w:val="0"/>
          <w:numId w:val="1032"/>
        </w:numPr>
      </w:pPr>
      <w:r>
        <w:t xml:space="preserve">Public case study library with reproducible metrics.</w:t>
      </w:r>
    </w:p>
    <w:p>
      <w:r>
        <w:pict>
          <v:rect style="width:0;height:1.5pt" o:hralign="center" o:hrstd="t" o:hr="t"/>
        </w:pict>
      </w:r>
    </w:p>
    <w:bookmarkEnd w:id="23"/>
    <w:bookmarkStart w:id="24" w:name="Xa8e00ef87574f9016ffe079dbd794e7a932a54e"/>
    <w:p>
      <w:pPr>
        <w:pStyle w:val="Heading2"/>
      </w:pPr>
      <w:r>
        <w:t xml:space="preserve">Phase 4: Productized Trust Infrastructure (Weeks 10-30)</w:t>
      </w:r>
    </w:p>
    <w:p>
      <w:pPr>
        <w:pStyle w:val="FirstParagraph"/>
      </w:pPr>
      <w:r>
        <w:t xml:space="preserve">Objective: Transform Awaricon from certification to programmable trust infrastructure.</w:t>
      </w:r>
    </w:p>
    <w:p>
      <w:pPr>
        <w:pStyle w:val="BodyText"/>
      </w:pPr>
      <w:r>
        <w:t xml:space="preserve">Actions:</w:t>
      </w:r>
    </w:p>
    <w:p>
      <w:pPr>
        <w:pStyle w:val="Compact"/>
        <w:numPr>
          <w:ilvl w:val="0"/>
          <w:numId w:val="1033"/>
        </w:numPr>
      </w:pPr>
      <w:r>
        <w:t xml:space="preserve">API-first verification endpoints with signed responses.</w:t>
      </w:r>
    </w:p>
    <w:p>
      <w:pPr>
        <w:pStyle w:val="Compact"/>
        <w:numPr>
          <w:ilvl w:val="0"/>
          <w:numId w:val="1033"/>
        </w:numPr>
      </w:pPr>
      <w:r>
        <w:t xml:space="preserve">CMS and commerce plugins (WordPress, Shopify, Webflow).</w:t>
      </w:r>
    </w:p>
    <w:p>
      <w:pPr>
        <w:pStyle w:val="Compact"/>
        <w:numPr>
          <w:ilvl w:val="0"/>
          <w:numId w:val="1033"/>
        </w:numPr>
      </w:pPr>
      <w:r>
        <w:t xml:space="preserve">Badge telemetry panel with verifiability logs.</w:t>
      </w:r>
    </w:p>
    <w:p>
      <w:pPr>
        <w:pStyle w:val="Compact"/>
        <w:numPr>
          <w:ilvl w:val="0"/>
          <w:numId w:val="1033"/>
        </w:numPr>
      </w:pPr>
      <w:r>
        <w:t xml:space="preserve">SDKs for quick integration in web and app ecosystems.</w:t>
      </w:r>
    </w:p>
    <w:p>
      <w:pPr>
        <w:pStyle w:val="Compact"/>
        <w:numPr>
          <w:ilvl w:val="0"/>
          <w:numId w:val="1033"/>
        </w:numPr>
      </w:pPr>
      <w:r>
        <w:t xml:space="preserve">Fraud/abuse signals and escalation workflows.</w:t>
      </w:r>
    </w:p>
    <w:p>
      <w:pPr>
        <w:pStyle w:val="FirstParagraph"/>
      </w:pPr>
      <w:r>
        <w:t xml:space="preserve">Paperclip implementation:</w:t>
      </w:r>
    </w:p>
    <w:p>
      <w:pPr>
        <w:pStyle w:val="Compact"/>
        <w:numPr>
          <w:ilvl w:val="0"/>
          <w:numId w:val="1034"/>
        </w:numPr>
      </w:pPr>
      <w:r>
        <w:t xml:space="preserve">Project: Awaricon Platform Core.</w:t>
      </w:r>
    </w:p>
    <w:p>
      <w:pPr>
        <w:pStyle w:val="Compact"/>
        <w:numPr>
          <w:ilvl w:val="0"/>
          <w:numId w:val="1034"/>
        </w:numPr>
      </w:pPr>
      <w:r>
        <w:t xml:space="preserve">Issues include architecture, security review, DX docs, QA, release notes.</w:t>
      </w:r>
    </w:p>
    <w:p>
      <w:pPr>
        <w:pStyle w:val="Compact"/>
        <w:numPr>
          <w:ilvl w:val="0"/>
          <w:numId w:val="1034"/>
        </w:numPr>
      </w:pPr>
      <w:r>
        <w:t xml:space="preserve">Approval gate for changes to scoring logic and tier thresholds.</w:t>
      </w:r>
    </w:p>
    <w:p>
      <w:pPr>
        <w:pStyle w:val="FirstParagraph"/>
      </w:pPr>
      <w:r>
        <w:t xml:space="preserve">KPIs:</w:t>
      </w:r>
    </w:p>
    <w:p>
      <w:pPr>
        <w:pStyle w:val="Compact"/>
        <w:numPr>
          <w:ilvl w:val="0"/>
          <w:numId w:val="1035"/>
        </w:numPr>
      </w:pPr>
      <w:r>
        <w:t xml:space="preserve">Time to integration under 60 minutes.</w:t>
      </w:r>
    </w:p>
    <w:p>
      <w:pPr>
        <w:pStyle w:val="Compact"/>
        <w:numPr>
          <w:ilvl w:val="0"/>
          <w:numId w:val="1035"/>
        </w:numPr>
      </w:pPr>
      <w:r>
        <w:t xml:space="preserve">API success rate above 99.95%.</w:t>
      </w:r>
    </w:p>
    <w:p>
      <w:pPr>
        <w:pStyle w:val="Compact"/>
        <w:numPr>
          <w:ilvl w:val="0"/>
          <w:numId w:val="1035"/>
        </w:numPr>
      </w:pPr>
      <w:r>
        <w:t xml:space="preserve">Verification request volume growth above 20% month-over-month.</w:t>
      </w:r>
    </w:p>
    <w:p>
      <w:pPr>
        <w:pStyle w:val="FirstParagraph"/>
      </w:pPr>
      <w:r>
        <w:t xml:space="preserve">Exit criteria:</w:t>
      </w:r>
    </w:p>
    <w:p>
      <w:pPr>
        <w:pStyle w:val="Compact"/>
        <w:numPr>
          <w:ilvl w:val="0"/>
          <w:numId w:val="1036"/>
        </w:numPr>
      </w:pPr>
      <w:r>
        <w:t xml:space="preserve">Platform supports self-serve onboarding with governance checks.</w:t>
      </w:r>
    </w:p>
    <w:p>
      <w:pPr>
        <w:pStyle w:val="Compact"/>
        <w:numPr>
          <w:ilvl w:val="0"/>
          <w:numId w:val="1036"/>
        </w:numPr>
      </w:pPr>
      <w:r>
        <w:t xml:space="preserve">Third-party developers produce ecosystem extensions.</w:t>
      </w:r>
    </w:p>
    <w:p>
      <w:r>
        <w:pict>
          <v:rect style="width:0;height:1.5pt" o:hralign="center" o:hrstd="t" o:hr="t"/>
        </w:pict>
      </w:r>
    </w:p>
    <w:bookmarkEnd w:id="24"/>
    <w:bookmarkStart w:id="25" w:name="Xfe2a31eef73a17cf96bf5ae6d8aec6e25ae9f71"/>
    <w:p>
      <w:pPr>
        <w:pStyle w:val="Heading2"/>
      </w:pPr>
      <w:r>
        <w:t xml:space="preserve">Phase 5: Global Distribution Engine (Months 6-18)</w:t>
      </w:r>
    </w:p>
    <w:p>
      <w:pPr>
        <w:pStyle w:val="FirstParagraph"/>
      </w:pPr>
      <w:r>
        <w:t xml:space="preserve">Objective: Build compounding growth loops across search, social, partnerships, and product-led referrals.</w:t>
      </w:r>
    </w:p>
    <w:p>
      <w:pPr>
        <w:pStyle w:val="BodyText"/>
      </w:pPr>
      <w:r>
        <w:t xml:space="preserve">Growth loops:</w:t>
      </w:r>
    </w:p>
    <w:p>
      <w:pPr>
        <w:pStyle w:val="Compact"/>
        <w:numPr>
          <w:ilvl w:val="0"/>
          <w:numId w:val="1037"/>
        </w:numPr>
      </w:pPr>
      <w:r>
        <w:t xml:space="preserve">Badge visibility loop: Each deployed badge drives verification curiosity and new applications.</w:t>
      </w:r>
    </w:p>
    <w:p>
      <w:pPr>
        <w:pStyle w:val="Compact"/>
        <w:numPr>
          <w:ilvl w:val="0"/>
          <w:numId w:val="1037"/>
        </w:numPr>
      </w:pPr>
      <w:r>
        <w:t xml:space="preserve">Case study loop: Each success report drives credibility and enterprise leads.</w:t>
      </w:r>
    </w:p>
    <w:p>
      <w:pPr>
        <w:pStyle w:val="Compact"/>
        <w:numPr>
          <w:ilvl w:val="0"/>
          <w:numId w:val="1037"/>
        </w:numPr>
      </w:pPr>
      <w:r>
        <w:t xml:space="preserve">Standards loop: Each citation drives more policy/industry references.</w:t>
      </w:r>
    </w:p>
    <w:p>
      <w:pPr>
        <w:pStyle w:val="Compact"/>
        <w:numPr>
          <w:ilvl w:val="0"/>
          <w:numId w:val="1037"/>
        </w:numPr>
      </w:pPr>
      <w:r>
        <w:t xml:space="preserve">Tooling loop: Each integration makes adoption easier for the next organization.</w:t>
      </w:r>
    </w:p>
    <w:p>
      <w:pPr>
        <w:pStyle w:val="FirstParagraph"/>
      </w:pPr>
      <w:r>
        <w:t xml:space="preserve">Actions:</w:t>
      </w:r>
    </w:p>
    <w:p>
      <w:pPr>
        <w:pStyle w:val="Compact"/>
        <w:numPr>
          <w:ilvl w:val="0"/>
          <w:numId w:val="1038"/>
        </w:numPr>
      </w:pPr>
      <w:r>
        <w:t xml:space="preserve">Build multilingual content pipelines across strategic regions.</w:t>
      </w:r>
    </w:p>
    <w:p>
      <w:pPr>
        <w:pStyle w:val="Compact"/>
        <w:numPr>
          <w:ilvl w:val="0"/>
          <w:numId w:val="1038"/>
        </w:numPr>
      </w:pPr>
      <w:r>
        <w:t xml:space="preserve">Launch partner referral and accredited implementation network.</w:t>
      </w:r>
    </w:p>
    <w:p>
      <w:pPr>
        <w:pStyle w:val="Compact"/>
        <w:numPr>
          <w:ilvl w:val="0"/>
          <w:numId w:val="1038"/>
        </w:numPr>
      </w:pPr>
      <w:r>
        <w:t xml:space="preserve">Launch annual Trust State report with benchmark rankings.</w:t>
      </w:r>
    </w:p>
    <w:p>
      <w:pPr>
        <w:pStyle w:val="Compact"/>
        <w:numPr>
          <w:ilvl w:val="0"/>
          <w:numId w:val="1038"/>
        </w:numPr>
      </w:pPr>
      <w:r>
        <w:t xml:space="preserve">Enable white-label reporting for enterprise clients.</w:t>
      </w:r>
    </w:p>
    <w:p>
      <w:pPr>
        <w:pStyle w:val="FirstParagraph"/>
      </w:pPr>
      <w:r>
        <w:t xml:space="preserve">Paperclip implementation:</w:t>
      </w:r>
    </w:p>
    <w:p>
      <w:pPr>
        <w:pStyle w:val="Compact"/>
        <w:numPr>
          <w:ilvl w:val="0"/>
          <w:numId w:val="1039"/>
        </w:numPr>
      </w:pPr>
      <w:r>
        <w:t xml:space="preserve">Project: Distribution Mesh.</w:t>
      </w:r>
    </w:p>
    <w:p>
      <w:pPr>
        <w:pStyle w:val="Compact"/>
        <w:numPr>
          <w:ilvl w:val="0"/>
          <w:numId w:val="1039"/>
        </w:numPr>
      </w:pPr>
      <w:r>
        <w:t xml:space="preserve">Regional pod projects with explicit owner agents.</w:t>
      </w:r>
    </w:p>
    <w:p>
      <w:pPr>
        <w:pStyle w:val="Compact"/>
        <w:numPr>
          <w:ilvl w:val="0"/>
          <w:numId w:val="1039"/>
        </w:numPr>
      </w:pPr>
      <w:r>
        <w:t xml:space="preserve">Weekly cross-pod synchronization routine.</w:t>
      </w:r>
    </w:p>
    <w:p>
      <w:pPr>
        <w:pStyle w:val="FirstParagraph"/>
      </w:pPr>
      <w:r>
        <w:t xml:space="preserve">KPIs:</w:t>
      </w:r>
    </w:p>
    <w:p>
      <w:pPr>
        <w:pStyle w:val="Compact"/>
        <w:numPr>
          <w:ilvl w:val="0"/>
          <w:numId w:val="1040"/>
        </w:numPr>
      </w:pPr>
      <w:r>
        <w:t xml:space="preserve">Organic traffic growth with trust-qualified conversion.</w:t>
      </w:r>
    </w:p>
    <w:p>
      <w:pPr>
        <w:pStyle w:val="Compact"/>
        <w:numPr>
          <w:ilvl w:val="0"/>
          <w:numId w:val="1040"/>
        </w:numPr>
      </w:pPr>
      <w:r>
        <w:t xml:space="preserve">Partner-sourced pipeline contribution above 35%.</w:t>
      </w:r>
    </w:p>
    <w:p>
      <w:pPr>
        <w:pStyle w:val="Compact"/>
        <w:numPr>
          <w:ilvl w:val="0"/>
          <w:numId w:val="1040"/>
        </w:numPr>
      </w:pPr>
      <w:r>
        <w:t xml:space="preserve">Regional adoption spread across at least 20 countries.</w:t>
      </w:r>
    </w:p>
    <w:p>
      <w:pPr>
        <w:pStyle w:val="FirstParagraph"/>
      </w:pPr>
      <w:r>
        <w:t xml:space="preserve">Exit criteria:</w:t>
      </w:r>
    </w:p>
    <w:p>
      <w:pPr>
        <w:pStyle w:val="Compact"/>
        <w:numPr>
          <w:ilvl w:val="0"/>
          <w:numId w:val="1041"/>
        </w:numPr>
      </w:pPr>
      <w:r>
        <w:t xml:space="preserve">Global inbound exceeds outbound pipeline generation.</w:t>
      </w:r>
    </w:p>
    <w:p>
      <w:pPr>
        <w:pStyle w:val="Compact"/>
        <w:numPr>
          <w:ilvl w:val="0"/>
          <w:numId w:val="1041"/>
        </w:numPr>
      </w:pPr>
      <w:r>
        <w:t xml:space="preserve">Category demand becomes self-sustaining.</w:t>
      </w:r>
    </w:p>
    <w:p>
      <w:r>
        <w:pict>
          <v:rect style="width:0;height:1.5pt" o:hralign="center" o:hrstd="t" o:hr="t"/>
        </w:pict>
      </w:r>
    </w:p>
    <w:bookmarkEnd w:id="25"/>
    <w:bookmarkStart w:id="26" w:name="X649069701aff31e3eea8e99c079700c56826011"/>
    <w:p>
      <w:pPr>
        <w:pStyle w:val="Heading2"/>
      </w:pPr>
      <w:r>
        <w:t xml:space="preserve">Phase 6: Institutionalization and Standards Governance (Months 9-24)</w:t>
      </w:r>
    </w:p>
    <w:p>
      <w:pPr>
        <w:pStyle w:val="FirstParagraph"/>
      </w:pPr>
      <w:r>
        <w:t xml:space="preserve">Objective: Make Awaricon unavoidable in policy and procurement pathways.</w:t>
      </w:r>
    </w:p>
    <w:p>
      <w:pPr>
        <w:pStyle w:val="BodyText"/>
      </w:pPr>
      <w:r>
        <w:t xml:space="preserve">Actions:</w:t>
      </w:r>
    </w:p>
    <w:p>
      <w:pPr>
        <w:pStyle w:val="Compact"/>
        <w:numPr>
          <w:ilvl w:val="0"/>
          <w:numId w:val="1042"/>
        </w:numPr>
      </w:pPr>
      <w:r>
        <w:t xml:space="preserve">Form nonprofit-aligned standards council with transparent charter.</w:t>
      </w:r>
    </w:p>
    <w:p>
      <w:pPr>
        <w:pStyle w:val="Compact"/>
        <w:numPr>
          <w:ilvl w:val="0"/>
          <w:numId w:val="1042"/>
        </w:numPr>
      </w:pPr>
      <w:r>
        <w:t xml:space="preserve">Publish compliance mappings to existing frameworks.</w:t>
      </w:r>
    </w:p>
    <w:p>
      <w:pPr>
        <w:pStyle w:val="Compact"/>
        <w:numPr>
          <w:ilvl w:val="0"/>
          <w:numId w:val="1042"/>
        </w:numPr>
      </w:pPr>
      <w:r>
        <w:t xml:space="preserve">Engage multilateral, educational, and industry bodies.</w:t>
      </w:r>
    </w:p>
    <w:p>
      <w:pPr>
        <w:pStyle w:val="Compact"/>
        <w:numPr>
          <w:ilvl w:val="0"/>
          <w:numId w:val="1042"/>
        </w:numPr>
      </w:pPr>
      <w:r>
        <w:t xml:space="preserve">Create certifier training and auditor accreditation pathways.</w:t>
      </w:r>
    </w:p>
    <w:p>
      <w:pPr>
        <w:pStyle w:val="FirstParagraph"/>
      </w:pPr>
      <w:r>
        <w:t xml:space="preserve">Paperclip implementation:</w:t>
      </w:r>
    </w:p>
    <w:p>
      <w:pPr>
        <w:pStyle w:val="Compact"/>
        <w:numPr>
          <w:ilvl w:val="0"/>
          <w:numId w:val="1043"/>
        </w:numPr>
      </w:pPr>
      <w:r>
        <w:t xml:space="preserve">Project: Standards Council and Policy Program.</w:t>
      </w:r>
    </w:p>
    <w:p>
      <w:pPr>
        <w:pStyle w:val="Compact"/>
        <w:numPr>
          <w:ilvl w:val="0"/>
          <w:numId w:val="1043"/>
        </w:numPr>
      </w:pPr>
      <w:r>
        <w:t xml:space="preserve">Approval workflows for external commitments and policy statements.</w:t>
      </w:r>
    </w:p>
    <w:p>
      <w:pPr>
        <w:pStyle w:val="Compact"/>
        <w:numPr>
          <w:ilvl w:val="0"/>
          <w:numId w:val="1043"/>
        </w:numPr>
      </w:pPr>
      <w:r>
        <w:t xml:space="preserve">Evidence docs required for all standards claims.</w:t>
      </w:r>
    </w:p>
    <w:p>
      <w:pPr>
        <w:pStyle w:val="FirstParagraph"/>
      </w:pPr>
      <w:r>
        <w:t xml:space="preserve">KPIs:</w:t>
      </w:r>
    </w:p>
    <w:p>
      <w:pPr>
        <w:pStyle w:val="Compact"/>
        <w:numPr>
          <w:ilvl w:val="0"/>
          <w:numId w:val="1044"/>
        </w:numPr>
      </w:pPr>
      <w:r>
        <w:t xml:space="preserve">Number of formal references by institutions.</w:t>
      </w:r>
    </w:p>
    <w:p>
      <w:pPr>
        <w:pStyle w:val="Compact"/>
        <w:numPr>
          <w:ilvl w:val="0"/>
          <w:numId w:val="1044"/>
        </w:numPr>
      </w:pPr>
      <w:r>
        <w:t xml:space="preserve">Number of accredited auditors and certification partners.</w:t>
      </w:r>
    </w:p>
    <w:p>
      <w:pPr>
        <w:pStyle w:val="Compact"/>
        <w:numPr>
          <w:ilvl w:val="0"/>
          <w:numId w:val="1044"/>
        </w:numPr>
      </w:pPr>
      <w:r>
        <w:t xml:space="preserve">Number of procurement frameworks recognizing Awaricon.</w:t>
      </w:r>
    </w:p>
    <w:p>
      <w:pPr>
        <w:pStyle w:val="FirstParagraph"/>
      </w:pPr>
      <w:r>
        <w:t xml:space="preserve">Exit criteria:</w:t>
      </w:r>
    </w:p>
    <w:p>
      <w:pPr>
        <w:pStyle w:val="Compact"/>
        <w:numPr>
          <w:ilvl w:val="0"/>
          <w:numId w:val="1045"/>
        </w:numPr>
      </w:pPr>
      <w:r>
        <w:t xml:space="preserve">Awaricon accepted as trusted signal in at least 3 major sectors.</w:t>
      </w:r>
    </w:p>
    <w:p>
      <w:pPr>
        <w:pStyle w:val="Compact"/>
        <w:numPr>
          <w:ilvl w:val="0"/>
          <w:numId w:val="1045"/>
        </w:numPr>
      </w:pPr>
      <w:r>
        <w:t xml:space="preserve">Governance body has independent oversight representation.</w:t>
      </w:r>
    </w:p>
    <w:p>
      <w:r>
        <w:pict>
          <v:rect style="width:0;height:1.5pt" o:hralign="center" o:hrstd="t" o:hr="t"/>
        </w:pict>
      </w:r>
    </w:p>
    <w:bookmarkEnd w:id="26"/>
    <w:bookmarkStart w:id="27" w:name="Xaaaab370c73d8999a8821f1e4eb210d1fbe8b4b"/>
    <w:p>
      <w:pPr>
        <w:pStyle w:val="Heading2"/>
      </w:pPr>
      <w:r>
        <w:t xml:space="preserve">Phase 7: Economic Dominance with Ethical Boundaries (Months 12-30)</w:t>
      </w:r>
    </w:p>
    <w:p>
      <w:pPr>
        <w:pStyle w:val="FirstParagraph"/>
      </w:pPr>
      <w:r>
        <w:t xml:space="preserve">Objective: Scale revenue and margin without ethical compromise.</w:t>
      </w:r>
    </w:p>
    <w:p>
      <w:pPr>
        <w:pStyle w:val="BodyText"/>
      </w:pPr>
      <w:r>
        <w:t xml:space="preserve">Revenue architecture:</w:t>
      </w:r>
    </w:p>
    <w:p>
      <w:pPr>
        <w:pStyle w:val="Compact"/>
        <w:numPr>
          <w:ilvl w:val="0"/>
          <w:numId w:val="1046"/>
        </w:numPr>
      </w:pPr>
      <w:r>
        <w:t xml:space="preserve">Enterprise trust infrastructure retainers.</w:t>
      </w:r>
    </w:p>
    <w:p>
      <w:pPr>
        <w:pStyle w:val="Compact"/>
        <w:numPr>
          <w:ilvl w:val="0"/>
          <w:numId w:val="1046"/>
        </w:numPr>
      </w:pPr>
      <w:r>
        <w:t xml:space="preserve">Certification and recertification tiers.</w:t>
      </w:r>
    </w:p>
    <w:p>
      <w:pPr>
        <w:pStyle w:val="Compact"/>
        <w:numPr>
          <w:ilvl w:val="0"/>
          <w:numId w:val="1046"/>
        </w:numPr>
      </w:pPr>
      <w:r>
        <w:t xml:space="preserve">API verification usage.</w:t>
      </w:r>
    </w:p>
    <w:p>
      <w:pPr>
        <w:pStyle w:val="Compact"/>
        <w:numPr>
          <w:ilvl w:val="0"/>
          <w:numId w:val="1046"/>
        </w:numPr>
      </w:pPr>
      <w:r>
        <w:t xml:space="preserve">Advisory and transformation programs.</w:t>
      </w:r>
    </w:p>
    <w:p>
      <w:pPr>
        <w:pStyle w:val="Compact"/>
        <w:numPr>
          <w:ilvl w:val="0"/>
          <w:numId w:val="1046"/>
        </w:numPr>
      </w:pPr>
      <w:r>
        <w:t xml:space="preserve">Education and accreditation programs.</w:t>
      </w:r>
    </w:p>
    <w:p>
      <w:pPr>
        <w:pStyle w:val="FirstParagraph"/>
      </w:pPr>
      <w:r>
        <w:t xml:space="preserve">Pricing principles:</w:t>
      </w:r>
    </w:p>
    <w:p>
      <w:pPr>
        <w:pStyle w:val="Compact"/>
        <w:numPr>
          <w:ilvl w:val="0"/>
          <w:numId w:val="1047"/>
        </w:numPr>
      </w:pPr>
      <w:r>
        <w:t xml:space="preserve">Transparency and proportional fairness.</w:t>
      </w:r>
    </w:p>
    <w:p>
      <w:pPr>
        <w:pStyle w:val="Compact"/>
        <w:numPr>
          <w:ilvl w:val="0"/>
          <w:numId w:val="1047"/>
        </w:numPr>
      </w:pPr>
      <w:r>
        <w:t xml:space="preserve">Subsidized pathways for high-impact nonprofits.</w:t>
      </w:r>
    </w:p>
    <w:p>
      <w:pPr>
        <w:pStyle w:val="Compact"/>
        <w:numPr>
          <w:ilvl w:val="0"/>
          <w:numId w:val="1047"/>
        </w:numPr>
      </w:pPr>
      <w:r>
        <w:t xml:space="preserve">No exploitative lock-in clauses.</w:t>
      </w:r>
    </w:p>
    <w:p>
      <w:pPr>
        <w:pStyle w:val="FirstParagraph"/>
      </w:pPr>
      <w:r>
        <w:t xml:space="preserve">Paperclip implementation:</w:t>
      </w:r>
    </w:p>
    <w:p>
      <w:pPr>
        <w:pStyle w:val="Compact"/>
        <w:numPr>
          <w:ilvl w:val="0"/>
          <w:numId w:val="1048"/>
        </w:numPr>
      </w:pPr>
      <w:r>
        <w:t xml:space="preserve">Project: Revenue and Access Architecture.</w:t>
      </w:r>
    </w:p>
    <w:p>
      <w:pPr>
        <w:pStyle w:val="Compact"/>
        <w:numPr>
          <w:ilvl w:val="0"/>
          <w:numId w:val="1048"/>
        </w:numPr>
      </w:pPr>
      <w:r>
        <w:t xml:space="preserve">Approval gate: pricing, terms, and subsidy policy changes.</w:t>
      </w:r>
    </w:p>
    <w:p>
      <w:pPr>
        <w:pStyle w:val="FirstParagraph"/>
      </w:pPr>
      <w:r>
        <w:t xml:space="preserve">KPIs:</w:t>
      </w:r>
    </w:p>
    <w:p>
      <w:pPr>
        <w:pStyle w:val="Compact"/>
        <w:numPr>
          <w:ilvl w:val="0"/>
          <w:numId w:val="1049"/>
        </w:numPr>
      </w:pPr>
      <w:r>
        <w:t xml:space="preserve">Net revenue retention above 120% for enterprise segment.</w:t>
      </w:r>
    </w:p>
    <w:p>
      <w:pPr>
        <w:pStyle w:val="Compact"/>
        <w:numPr>
          <w:ilvl w:val="0"/>
          <w:numId w:val="1049"/>
        </w:numPr>
      </w:pPr>
      <w:r>
        <w:t xml:space="preserve">Gross margin above 70% on platform products.</w:t>
      </w:r>
    </w:p>
    <w:p>
      <w:pPr>
        <w:pStyle w:val="Compact"/>
        <w:numPr>
          <w:ilvl w:val="0"/>
          <w:numId w:val="1049"/>
        </w:numPr>
      </w:pPr>
      <w:r>
        <w:t xml:space="preserve">Subsidy pool impact ratio with transparent accounting.</w:t>
      </w:r>
    </w:p>
    <w:p>
      <w:pPr>
        <w:pStyle w:val="FirstParagraph"/>
      </w:pPr>
      <w:r>
        <w:t xml:space="preserve">Exit criteria:</w:t>
      </w:r>
    </w:p>
    <w:p>
      <w:pPr>
        <w:pStyle w:val="Compact"/>
        <w:numPr>
          <w:ilvl w:val="0"/>
          <w:numId w:val="1050"/>
        </w:numPr>
      </w:pPr>
      <w:r>
        <w:t xml:space="preserve">Revenue growth is strong and publicly defensible.</w:t>
      </w:r>
    </w:p>
    <w:p>
      <w:pPr>
        <w:pStyle w:val="Compact"/>
        <w:numPr>
          <w:ilvl w:val="0"/>
          <w:numId w:val="1050"/>
        </w:numPr>
      </w:pPr>
      <w:r>
        <w:t xml:space="preserve">Economic model sustains mission and research investment.</w:t>
      </w:r>
    </w:p>
    <w:p>
      <w:r>
        <w:pict>
          <v:rect style="width:0;height:1.5pt" o:hralign="center" o:hrstd="t" o:hr="t"/>
        </w:pict>
      </w:r>
    </w:p>
    <w:bookmarkEnd w:id="27"/>
    <w:bookmarkStart w:id="28" w:name="X981286286c24a0d02d8676c92cf5a84967a6c95"/>
    <w:p>
      <w:pPr>
        <w:pStyle w:val="Heading2"/>
      </w:pPr>
      <w:r>
        <w:t xml:space="preserve">Phase 8: Durable Leadership and Civilizational Scale (Months 24-36)</w:t>
      </w:r>
    </w:p>
    <w:p>
      <w:pPr>
        <w:pStyle w:val="FirstParagraph"/>
      </w:pPr>
      <w:r>
        <w:t xml:space="preserve">Objective: Ensure leadership persists beyond founder charisma and market cycles.</w:t>
      </w:r>
    </w:p>
    <w:p>
      <w:pPr>
        <w:pStyle w:val="BodyText"/>
      </w:pPr>
      <w:r>
        <w:t xml:space="preserve">Actions:</w:t>
      </w:r>
    </w:p>
    <w:p>
      <w:pPr>
        <w:pStyle w:val="Compact"/>
        <w:numPr>
          <w:ilvl w:val="0"/>
          <w:numId w:val="1051"/>
        </w:numPr>
      </w:pPr>
      <w:r>
        <w:t xml:space="preserve">Build open educational curricula and certification academies.</w:t>
      </w:r>
    </w:p>
    <w:p>
      <w:pPr>
        <w:pStyle w:val="Compact"/>
        <w:numPr>
          <w:ilvl w:val="0"/>
          <w:numId w:val="1051"/>
        </w:numPr>
      </w:pPr>
      <w:r>
        <w:t xml:space="preserve">Establish independent ethics ombuds function.</w:t>
      </w:r>
    </w:p>
    <w:p>
      <w:pPr>
        <w:pStyle w:val="Compact"/>
        <w:numPr>
          <w:ilvl w:val="0"/>
          <w:numId w:val="1051"/>
        </w:numPr>
      </w:pPr>
      <w:r>
        <w:t xml:space="preserve">Launch annual third-party impact and methods audit.</w:t>
      </w:r>
    </w:p>
    <w:p>
      <w:pPr>
        <w:pStyle w:val="Compact"/>
        <w:numPr>
          <w:ilvl w:val="0"/>
          <w:numId w:val="1051"/>
        </w:numPr>
      </w:pPr>
      <w:r>
        <w:t xml:space="preserve">Publish failures and corrections with equal prominence as wins.</w:t>
      </w:r>
    </w:p>
    <w:p>
      <w:pPr>
        <w:pStyle w:val="FirstParagraph"/>
      </w:pPr>
      <w:r>
        <w:t xml:space="preserve">Paperclip implementation:</w:t>
      </w:r>
    </w:p>
    <w:p>
      <w:pPr>
        <w:pStyle w:val="Compact"/>
        <w:numPr>
          <w:ilvl w:val="0"/>
          <w:numId w:val="1052"/>
        </w:numPr>
      </w:pPr>
      <w:r>
        <w:t xml:space="preserve">Project: Legacy and Continuity Systems.</w:t>
      </w:r>
    </w:p>
    <w:p>
      <w:pPr>
        <w:pStyle w:val="Compact"/>
        <w:numPr>
          <w:ilvl w:val="0"/>
          <w:numId w:val="1052"/>
        </w:numPr>
      </w:pPr>
      <w:r>
        <w:t xml:space="preserve">Routine: quarterly governance stress test.</w:t>
      </w:r>
    </w:p>
    <w:p>
      <w:pPr>
        <w:pStyle w:val="FirstParagraph"/>
      </w:pPr>
      <w:r>
        <w:t xml:space="preserve">KPIs:</w:t>
      </w:r>
    </w:p>
    <w:p>
      <w:pPr>
        <w:pStyle w:val="Compact"/>
        <w:numPr>
          <w:ilvl w:val="0"/>
          <w:numId w:val="1053"/>
        </w:numPr>
      </w:pPr>
      <w:r>
        <w:t xml:space="preserve">Governance maturity score.</w:t>
      </w:r>
    </w:p>
    <w:p>
      <w:pPr>
        <w:pStyle w:val="Compact"/>
        <w:numPr>
          <w:ilvl w:val="0"/>
          <w:numId w:val="1053"/>
        </w:numPr>
      </w:pPr>
      <w:r>
        <w:t xml:space="preserve">Public trust trend stability.</w:t>
      </w:r>
    </w:p>
    <w:p>
      <w:pPr>
        <w:pStyle w:val="Compact"/>
        <w:numPr>
          <w:ilvl w:val="0"/>
          <w:numId w:val="1053"/>
        </w:numPr>
      </w:pPr>
      <w:r>
        <w:t xml:space="preserve">Leader succession readiness and knowledge continuity.</w:t>
      </w:r>
    </w:p>
    <w:p>
      <w:pPr>
        <w:pStyle w:val="FirstParagraph"/>
      </w:pPr>
      <w:r>
        <w:t xml:space="preserve">Exit criteria:</w:t>
      </w:r>
    </w:p>
    <w:p>
      <w:pPr>
        <w:pStyle w:val="Compact"/>
        <w:numPr>
          <w:ilvl w:val="0"/>
          <w:numId w:val="1054"/>
        </w:numPr>
      </w:pPr>
      <w:r>
        <w:t xml:space="preserve">Institution remains credible under adverse conditions.</w:t>
      </w:r>
    </w:p>
    <w:p>
      <w:pPr>
        <w:pStyle w:val="Compact"/>
        <w:numPr>
          <w:ilvl w:val="0"/>
          <w:numId w:val="1054"/>
        </w:numPr>
      </w:pPr>
      <w:r>
        <w:t xml:space="preserve">Standards influence persists independent of single actors.</w:t>
      </w:r>
    </w:p>
    <w:p>
      <w:r>
        <w:pict>
          <v:rect style="width:0;height:1.5pt" o:hralign="center" o:hrstd="t" o:hr="t"/>
        </w:pict>
      </w:r>
    </w:p>
    <w:bookmarkEnd w:id="28"/>
    <w:bookmarkStart w:id="29" w:name="day-detailed-execution-calendar"/>
    <w:p>
      <w:pPr>
        <w:pStyle w:val="Heading2"/>
      </w:pPr>
      <w:r>
        <w:t xml:space="preserve">6) 180-Day Detailed Execution Calendar</w:t>
      </w:r>
    </w:p>
    <w:bookmarkEnd w:id="29"/>
    <w:bookmarkStart w:id="30" w:name="sprint-block-a-days-1-30"/>
    <w:p>
      <w:pPr>
        <w:pStyle w:val="Heading2"/>
      </w:pPr>
      <w:r>
        <w:t xml:space="preserve">Sprint Block A (Days 1-30)</w:t>
      </w:r>
    </w:p>
    <w:p>
      <w:pPr>
        <w:pStyle w:val="Compact"/>
        <w:numPr>
          <w:ilvl w:val="0"/>
          <w:numId w:val="1055"/>
        </w:numPr>
      </w:pPr>
      <w:r>
        <w:t xml:space="preserve">Build Paperclip company agent topology.</w:t>
      </w:r>
    </w:p>
    <w:p>
      <w:pPr>
        <w:pStyle w:val="Compact"/>
        <w:numPr>
          <w:ilvl w:val="0"/>
          <w:numId w:val="1055"/>
        </w:numPr>
      </w:pPr>
      <w:r>
        <w:t xml:space="preserve">Configure issue templates and approval policies.</w:t>
      </w:r>
    </w:p>
    <w:p>
      <w:pPr>
        <w:pStyle w:val="Compact"/>
        <w:numPr>
          <w:ilvl w:val="0"/>
          <w:numId w:val="1055"/>
        </w:numPr>
      </w:pPr>
      <w:r>
        <w:t xml:space="preserve">Deploy baseline KPI dashboard and event taxonomy.</w:t>
      </w:r>
    </w:p>
    <w:p>
      <w:pPr>
        <w:pStyle w:val="Compact"/>
        <w:numPr>
          <w:ilvl w:val="0"/>
          <w:numId w:val="1055"/>
        </w:numPr>
      </w:pPr>
      <w:r>
        <w:t xml:space="preserve">Launch first 12 pillar content assets.</w:t>
      </w:r>
    </w:p>
    <w:p>
      <w:pPr>
        <w:pStyle w:val="Compact"/>
        <w:numPr>
          <w:ilvl w:val="0"/>
          <w:numId w:val="1055"/>
        </w:numPr>
      </w:pPr>
      <w:r>
        <w:t xml:space="preserve">Start anchor outreach to first 50 prospects.</w:t>
      </w:r>
    </w:p>
    <w:p>
      <w:pPr>
        <w:pStyle w:val="FirstParagraph"/>
      </w:pPr>
      <w:r>
        <w:t xml:space="preserve">Expected outputs:</w:t>
      </w:r>
    </w:p>
    <w:p>
      <w:pPr>
        <w:pStyle w:val="Compact"/>
        <w:numPr>
          <w:ilvl w:val="0"/>
          <w:numId w:val="1056"/>
        </w:numPr>
      </w:pPr>
      <w:r>
        <w:t xml:space="preserve">Operating cadence active.</w:t>
      </w:r>
    </w:p>
    <w:p>
      <w:pPr>
        <w:pStyle w:val="Compact"/>
        <w:numPr>
          <w:ilvl w:val="0"/>
          <w:numId w:val="1056"/>
        </w:numPr>
      </w:pPr>
      <w:r>
        <w:t xml:space="preserve">Metrics and dashboards trusted.</w:t>
      </w:r>
    </w:p>
    <w:p>
      <w:pPr>
        <w:pStyle w:val="Compact"/>
        <w:numPr>
          <w:ilvl w:val="0"/>
          <w:numId w:val="1056"/>
        </w:numPr>
      </w:pPr>
      <w:r>
        <w:t xml:space="preserve">Category narrative visible.</w:t>
      </w:r>
    </w:p>
    <w:bookmarkEnd w:id="30"/>
    <w:bookmarkStart w:id="31" w:name="sprint-block-b-days-31-60"/>
    <w:p>
      <w:pPr>
        <w:pStyle w:val="Heading2"/>
      </w:pPr>
      <w:r>
        <w:t xml:space="preserve">Sprint Block B (Days 31-60)</w:t>
      </w:r>
    </w:p>
    <w:p>
      <w:pPr>
        <w:pStyle w:val="Compact"/>
        <w:numPr>
          <w:ilvl w:val="0"/>
          <w:numId w:val="1057"/>
        </w:numPr>
      </w:pPr>
      <w:r>
        <w:t xml:space="preserve">Ship Awaricon technical spec v1.</w:t>
      </w:r>
    </w:p>
    <w:p>
      <w:pPr>
        <w:pStyle w:val="Compact"/>
        <w:numPr>
          <w:ilvl w:val="0"/>
          <w:numId w:val="1057"/>
        </w:numPr>
      </w:pPr>
      <w:r>
        <w:t xml:space="preserve">Launch public methods and scoring documentation.</w:t>
      </w:r>
    </w:p>
    <w:p>
      <w:pPr>
        <w:pStyle w:val="Compact"/>
        <w:numPr>
          <w:ilvl w:val="0"/>
          <w:numId w:val="1057"/>
        </w:numPr>
      </w:pPr>
      <w:r>
        <w:t xml:space="preserve">Run first 10 demos with anchor organizations.</w:t>
      </w:r>
    </w:p>
    <w:p>
      <w:pPr>
        <w:pStyle w:val="Compact"/>
        <w:numPr>
          <w:ilvl w:val="0"/>
          <w:numId w:val="1057"/>
        </w:numPr>
      </w:pPr>
      <w:r>
        <w:t xml:space="preserve">Publish 3 long-form case narratives.</w:t>
      </w:r>
    </w:p>
    <w:p>
      <w:pPr>
        <w:pStyle w:val="Compact"/>
        <w:numPr>
          <w:ilvl w:val="0"/>
          <w:numId w:val="1057"/>
        </w:numPr>
      </w:pPr>
      <w:r>
        <w:t xml:space="preserve">Deploy first plugin prototype and verification API beta.</w:t>
      </w:r>
    </w:p>
    <w:p>
      <w:pPr>
        <w:pStyle w:val="FirstParagraph"/>
      </w:pPr>
      <w:r>
        <w:t xml:space="preserve">Expected outputs:</w:t>
      </w:r>
    </w:p>
    <w:p>
      <w:pPr>
        <w:pStyle w:val="Compact"/>
        <w:numPr>
          <w:ilvl w:val="0"/>
          <w:numId w:val="1058"/>
        </w:numPr>
      </w:pPr>
      <w:r>
        <w:t xml:space="preserve">Institutional credibility rising.</w:t>
      </w:r>
    </w:p>
    <w:p>
      <w:pPr>
        <w:pStyle w:val="Compact"/>
        <w:numPr>
          <w:ilvl w:val="0"/>
          <w:numId w:val="1058"/>
        </w:numPr>
      </w:pPr>
      <w:r>
        <w:t xml:space="preserve">Early adoption moving from interest to implementation.</w:t>
      </w:r>
    </w:p>
    <w:bookmarkEnd w:id="31"/>
    <w:bookmarkStart w:id="32" w:name="sprint-block-c-days-61-90"/>
    <w:p>
      <w:pPr>
        <w:pStyle w:val="Heading2"/>
      </w:pPr>
      <w:r>
        <w:t xml:space="preserve">Sprint Block C (Days 61-90)</w:t>
      </w:r>
    </w:p>
    <w:p>
      <w:pPr>
        <w:pStyle w:val="Compact"/>
        <w:numPr>
          <w:ilvl w:val="0"/>
          <w:numId w:val="1059"/>
        </w:numPr>
      </w:pPr>
      <w:r>
        <w:t xml:space="preserve">Finalize first founding cohort and announcements.</w:t>
      </w:r>
    </w:p>
    <w:p>
      <w:pPr>
        <w:pStyle w:val="Compact"/>
        <w:numPr>
          <w:ilvl w:val="0"/>
          <w:numId w:val="1059"/>
        </w:numPr>
      </w:pPr>
      <w:r>
        <w:t xml:space="preserve">Launch multilingual search program in priority geographies.</w:t>
      </w:r>
    </w:p>
    <w:p>
      <w:pPr>
        <w:pStyle w:val="Compact"/>
        <w:numPr>
          <w:ilvl w:val="0"/>
          <w:numId w:val="1059"/>
        </w:numPr>
      </w:pPr>
      <w:r>
        <w:t xml:space="preserve">Implement weekly transparency digest and public changelog.</w:t>
      </w:r>
    </w:p>
    <w:p>
      <w:pPr>
        <w:pStyle w:val="Compact"/>
        <w:numPr>
          <w:ilvl w:val="0"/>
          <w:numId w:val="1059"/>
        </w:numPr>
      </w:pPr>
      <w:r>
        <w:t xml:space="preserve">Standardize case study methodology and data collection.</w:t>
      </w:r>
    </w:p>
    <w:p>
      <w:pPr>
        <w:pStyle w:val="FirstParagraph"/>
      </w:pPr>
      <w:r>
        <w:t xml:space="preserve">Expected outputs:</w:t>
      </w:r>
    </w:p>
    <w:p>
      <w:pPr>
        <w:pStyle w:val="Compact"/>
        <w:numPr>
          <w:ilvl w:val="0"/>
          <w:numId w:val="1060"/>
        </w:numPr>
      </w:pPr>
      <w:r>
        <w:t xml:space="preserve">Social proof network effects beginning.</w:t>
      </w:r>
    </w:p>
    <w:p>
      <w:pPr>
        <w:pStyle w:val="Compact"/>
        <w:numPr>
          <w:ilvl w:val="0"/>
          <w:numId w:val="1060"/>
        </w:numPr>
      </w:pPr>
      <w:r>
        <w:t xml:space="preserve">Inbound quality improving.</w:t>
      </w:r>
    </w:p>
    <w:bookmarkEnd w:id="32"/>
    <w:bookmarkStart w:id="33" w:name="sprint-block-d-days-91-120"/>
    <w:p>
      <w:pPr>
        <w:pStyle w:val="Heading2"/>
      </w:pPr>
      <w:r>
        <w:t xml:space="preserve">Sprint Block D (Days 91-120)</w:t>
      </w:r>
    </w:p>
    <w:p>
      <w:pPr>
        <w:pStyle w:val="Compact"/>
        <w:numPr>
          <w:ilvl w:val="0"/>
          <w:numId w:val="1061"/>
        </w:numPr>
      </w:pPr>
      <w:r>
        <w:t xml:space="preserve">General availability for core verification APIs.</w:t>
      </w:r>
    </w:p>
    <w:p>
      <w:pPr>
        <w:pStyle w:val="Compact"/>
        <w:numPr>
          <w:ilvl w:val="0"/>
          <w:numId w:val="1061"/>
        </w:numPr>
      </w:pPr>
      <w:r>
        <w:t xml:space="preserve">Launch partner accreditation pilot.</w:t>
      </w:r>
    </w:p>
    <w:p>
      <w:pPr>
        <w:pStyle w:val="Compact"/>
        <w:numPr>
          <w:ilvl w:val="0"/>
          <w:numId w:val="1061"/>
        </w:numPr>
      </w:pPr>
      <w:r>
        <w:t xml:space="preserve">Establish advisory council and first review session.</w:t>
      </w:r>
    </w:p>
    <w:p>
      <w:pPr>
        <w:pStyle w:val="Compact"/>
        <w:numPr>
          <w:ilvl w:val="0"/>
          <w:numId w:val="1061"/>
        </w:numPr>
      </w:pPr>
      <w:r>
        <w:t xml:space="preserve">Publish first quarterly trust and impact report.</w:t>
      </w:r>
    </w:p>
    <w:p>
      <w:pPr>
        <w:pStyle w:val="FirstParagraph"/>
      </w:pPr>
      <w:r>
        <w:t xml:space="preserve">Expected outputs:</w:t>
      </w:r>
    </w:p>
    <w:p>
      <w:pPr>
        <w:pStyle w:val="Compact"/>
        <w:numPr>
          <w:ilvl w:val="0"/>
          <w:numId w:val="1062"/>
        </w:numPr>
      </w:pPr>
      <w:r>
        <w:t xml:space="preserve">Productization and governance lock-in.</w:t>
      </w:r>
    </w:p>
    <w:p>
      <w:pPr>
        <w:pStyle w:val="Compact"/>
        <w:numPr>
          <w:ilvl w:val="0"/>
          <w:numId w:val="1062"/>
        </w:numPr>
      </w:pPr>
      <w:r>
        <w:t xml:space="preserve">Market belief transition from “interesting” to “inevitable”.</w:t>
      </w:r>
    </w:p>
    <w:bookmarkEnd w:id="33"/>
    <w:bookmarkStart w:id="34" w:name="sprint-block-e-days-121-150"/>
    <w:p>
      <w:pPr>
        <w:pStyle w:val="Heading2"/>
      </w:pPr>
      <w:r>
        <w:t xml:space="preserve">Sprint Block E (Days 121-150)</w:t>
      </w:r>
    </w:p>
    <w:p>
      <w:pPr>
        <w:pStyle w:val="Compact"/>
        <w:numPr>
          <w:ilvl w:val="0"/>
          <w:numId w:val="1063"/>
        </w:numPr>
      </w:pPr>
      <w:r>
        <w:t xml:space="preserve">Scale outbound-enterprise and partner channels.</w:t>
      </w:r>
    </w:p>
    <w:p>
      <w:pPr>
        <w:pStyle w:val="Compact"/>
        <w:numPr>
          <w:ilvl w:val="0"/>
          <w:numId w:val="1063"/>
        </w:numPr>
      </w:pPr>
      <w:r>
        <w:t xml:space="preserve">Expand to 3 additional language markets.</w:t>
      </w:r>
    </w:p>
    <w:p>
      <w:pPr>
        <w:pStyle w:val="Compact"/>
        <w:numPr>
          <w:ilvl w:val="0"/>
          <w:numId w:val="1063"/>
        </w:numPr>
      </w:pPr>
      <w:r>
        <w:t xml:space="preserve">Release benchmark report for sector rankings.</w:t>
      </w:r>
    </w:p>
    <w:p>
      <w:pPr>
        <w:pStyle w:val="Compact"/>
        <w:numPr>
          <w:ilvl w:val="0"/>
          <w:numId w:val="1063"/>
        </w:numPr>
      </w:pPr>
      <w:r>
        <w:t xml:space="preserve">Implement risk intelligence and abuse-prevention tooling.</w:t>
      </w:r>
    </w:p>
    <w:p>
      <w:pPr>
        <w:pStyle w:val="FirstParagraph"/>
      </w:pPr>
      <w:r>
        <w:t xml:space="preserve">Expected outputs:</w:t>
      </w:r>
    </w:p>
    <w:p>
      <w:pPr>
        <w:pStyle w:val="Compact"/>
        <w:numPr>
          <w:ilvl w:val="0"/>
          <w:numId w:val="1064"/>
        </w:numPr>
      </w:pPr>
      <w:r>
        <w:t xml:space="preserve">Distribution expands globally.</w:t>
      </w:r>
    </w:p>
    <w:p>
      <w:pPr>
        <w:pStyle w:val="Compact"/>
        <w:numPr>
          <w:ilvl w:val="0"/>
          <w:numId w:val="1064"/>
        </w:numPr>
      </w:pPr>
      <w:r>
        <w:t xml:space="preserve">Standards posture strengthens.</w:t>
      </w:r>
    </w:p>
    <w:bookmarkEnd w:id="34"/>
    <w:bookmarkStart w:id="35" w:name="sprint-block-f-days-151-180"/>
    <w:p>
      <w:pPr>
        <w:pStyle w:val="Heading2"/>
      </w:pPr>
      <w:r>
        <w:t xml:space="preserve">Sprint Block F (Days 151-180)</w:t>
      </w:r>
    </w:p>
    <w:p>
      <w:pPr>
        <w:pStyle w:val="Compact"/>
        <w:numPr>
          <w:ilvl w:val="0"/>
          <w:numId w:val="1065"/>
        </w:numPr>
      </w:pPr>
      <w:r>
        <w:t xml:space="preserve">Cross-sector summits and policy engagement.</w:t>
      </w:r>
    </w:p>
    <w:p>
      <w:pPr>
        <w:pStyle w:val="Compact"/>
        <w:numPr>
          <w:ilvl w:val="0"/>
          <w:numId w:val="1065"/>
        </w:numPr>
      </w:pPr>
      <w:r>
        <w:t xml:space="preserve">Publish second cohort case study set.</w:t>
      </w:r>
    </w:p>
    <w:p>
      <w:pPr>
        <w:pStyle w:val="Compact"/>
        <w:numPr>
          <w:ilvl w:val="0"/>
          <w:numId w:val="1065"/>
        </w:numPr>
      </w:pPr>
      <w:r>
        <w:t xml:space="preserve">Run external methods review and publish findings.</w:t>
      </w:r>
    </w:p>
    <w:p>
      <w:pPr>
        <w:pStyle w:val="Compact"/>
        <w:numPr>
          <w:ilvl w:val="0"/>
          <w:numId w:val="1065"/>
        </w:numPr>
      </w:pPr>
      <w:r>
        <w:t xml:space="preserve">Rebalance strategy using DI components and causality analysis.</w:t>
      </w:r>
    </w:p>
    <w:p>
      <w:pPr>
        <w:pStyle w:val="FirstParagraph"/>
      </w:pPr>
      <w:r>
        <w:t xml:space="preserve">Expected outputs:</w:t>
      </w:r>
    </w:p>
    <w:p>
      <w:pPr>
        <w:pStyle w:val="Compact"/>
        <w:numPr>
          <w:ilvl w:val="0"/>
          <w:numId w:val="1066"/>
        </w:numPr>
      </w:pPr>
      <w:r>
        <w:t xml:space="preserve">Category authority substantially entrenched.</w:t>
      </w:r>
    </w:p>
    <w:p>
      <w:pPr>
        <w:pStyle w:val="Compact"/>
        <w:numPr>
          <w:ilvl w:val="0"/>
          <w:numId w:val="1066"/>
        </w:numPr>
      </w:pPr>
      <w:r>
        <w:t xml:space="preserve">Scale with integrity validated.</w:t>
      </w:r>
    </w:p>
    <w:p>
      <w:r>
        <w:pict>
          <v:rect style="width:0;height:1.5pt" o:hralign="center" o:hrstd="t" o:hr="t"/>
        </w:pict>
      </w:r>
    </w:p>
    <w:bookmarkEnd w:id="35"/>
    <w:bookmarkStart w:id="39" w:name="causality-model-and-experimental-design"/>
    <w:p>
      <w:pPr>
        <w:pStyle w:val="Heading2"/>
      </w:pPr>
      <w:r>
        <w:t xml:space="preserve">7) Causality Model and Experimental Design</w:t>
      </w:r>
    </w:p>
    <w:bookmarkStart w:id="36" w:name="primary-causal-chain"/>
    <w:p>
      <w:pPr>
        <w:pStyle w:val="Heading3"/>
      </w:pPr>
      <w:r>
        <w:t xml:space="preserve">7.1 Primary Causal Chain</w:t>
      </w:r>
    </w:p>
    <w:p>
      <w:pPr>
        <w:pStyle w:val="Compact"/>
        <w:numPr>
          <w:ilvl w:val="0"/>
          <w:numId w:val="1067"/>
        </w:numPr>
      </w:pPr>
      <w:r>
        <w:t xml:space="preserve">Evidence credibility increases trust.</w:t>
      </w:r>
    </w:p>
    <w:p>
      <w:pPr>
        <w:pStyle w:val="Compact"/>
        <w:numPr>
          <w:ilvl w:val="0"/>
          <w:numId w:val="1067"/>
        </w:numPr>
      </w:pPr>
      <w:r>
        <w:t xml:space="preserve">Trust increases conversion and retention.</w:t>
      </w:r>
    </w:p>
    <w:p>
      <w:pPr>
        <w:pStyle w:val="Compact"/>
        <w:numPr>
          <w:ilvl w:val="0"/>
          <w:numId w:val="1067"/>
        </w:numPr>
      </w:pPr>
      <w:r>
        <w:t xml:space="preserve">Retention funds product and standards investments.</w:t>
      </w:r>
    </w:p>
    <w:p>
      <w:pPr>
        <w:pStyle w:val="Compact"/>
        <w:numPr>
          <w:ilvl w:val="0"/>
          <w:numId w:val="1067"/>
        </w:numPr>
      </w:pPr>
      <w:r>
        <w:t xml:space="preserve">Product and standards increase adoption.</w:t>
      </w:r>
    </w:p>
    <w:p>
      <w:pPr>
        <w:pStyle w:val="Compact"/>
        <w:numPr>
          <w:ilvl w:val="0"/>
          <w:numId w:val="1067"/>
        </w:numPr>
      </w:pPr>
      <w:r>
        <w:t xml:space="preserve">Adoption increases visibility and citation.</w:t>
      </w:r>
    </w:p>
    <w:p>
      <w:pPr>
        <w:pStyle w:val="Compact"/>
        <w:numPr>
          <w:ilvl w:val="0"/>
          <w:numId w:val="1067"/>
        </w:numPr>
      </w:pPr>
      <w:r>
        <w:t xml:space="preserve">Citation loops back to evidence credibility.</w:t>
      </w:r>
    </w:p>
    <w:bookmarkEnd w:id="36"/>
    <w:bookmarkStart w:id="37" w:name="experiment-classes"/>
    <w:p>
      <w:pPr>
        <w:pStyle w:val="Heading3"/>
      </w:pPr>
      <w:r>
        <w:t xml:space="preserve">7.2 Experiment Classes</w:t>
      </w:r>
    </w:p>
    <w:p>
      <w:pPr>
        <w:pStyle w:val="Compact"/>
        <w:numPr>
          <w:ilvl w:val="0"/>
          <w:numId w:val="1068"/>
        </w:numPr>
      </w:pPr>
      <w:r>
        <w:t xml:space="preserve">Message experiments: value framing by vertical.</w:t>
      </w:r>
    </w:p>
    <w:p>
      <w:pPr>
        <w:pStyle w:val="Compact"/>
        <w:numPr>
          <w:ilvl w:val="0"/>
          <w:numId w:val="1068"/>
        </w:numPr>
      </w:pPr>
      <w:r>
        <w:t xml:space="preserve">Offer experiments: pilot structure and incentives.</w:t>
      </w:r>
    </w:p>
    <w:p>
      <w:pPr>
        <w:pStyle w:val="Compact"/>
        <w:numPr>
          <w:ilvl w:val="0"/>
          <w:numId w:val="1068"/>
        </w:numPr>
      </w:pPr>
      <w:r>
        <w:t xml:space="preserve">Product experiments: integration friction and activation time.</w:t>
      </w:r>
    </w:p>
    <w:p>
      <w:pPr>
        <w:pStyle w:val="Compact"/>
        <w:numPr>
          <w:ilvl w:val="0"/>
          <w:numId w:val="1068"/>
        </w:numPr>
      </w:pPr>
      <w:r>
        <w:t xml:space="preserve">Governance experiments: review cadence and decision quality.</w:t>
      </w:r>
    </w:p>
    <w:bookmarkEnd w:id="37"/>
    <w:bookmarkStart w:id="38" w:name="statistical-and-practical-rules"/>
    <w:p>
      <w:pPr>
        <w:pStyle w:val="Heading3"/>
      </w:pPr>
      <w:r>
        <w:t xml:space="preserve">7.3 Statistical and Practical Rules</w:t>
      </w:r>
    </w:p>
    <w:p>
      <w:pPr>
        <w:pStyle w:val="Compact"/>
        <w:numPr>
          <w:ilvl w:val="0"/>
          <w:numId w:val="1069"/>
        </w:numPr>
      </w:pPr>
      <w:r>
        <w:t xml:space="preserve">Pre-register experiment hypotheses and stop rules.</w:t>
      </w:r>
    </w:p>
    <w:p>
      <w:pPr>
        <w:pStyle w:val="Compact"/>
        <w:numPr>
          <w:ilvl w:val="0"/>
          <w:numId w:val="1069"/>
        </w:numPr>
      </w:pPr>
      <w:r>
        <w:t xml:space="preserve">Use minimum detectable effect thresholds before rollout.</w:t>
      </w:r>
    </w:p>
    <w:p>
      <w:pPr>
        <w:pStyle w:val="Compact"/>
        <w:numPr>
          <w:ilvl w:val="0"/>
          <w:numId w:val="1069"/>
        </w:numPr>
      </w:pPr>
      <w:r>
        <w:t xml:space="preserve">Require practical significance, not only statistical significance.</w:t>
      </w:r>
    </w:p>
    <w:p>
      <w:pPr>
        <w:pStyle w:val="Compact"/>
        <w:numPr>
          <w:ilvl w:val="0"/>
          <w:numId w:val="1069"/>
        </w:numPr>
      </w:pPr>
      <w:r>
        <w:t xml:space="preserve">Publish major experiment outcomes in transparency digest.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risk-register-and-countermeasures"/>
    <w:p>
      <w:pPr>
        <w:pStyle w:val="Heading2"/>
      </w:pPr>
      <w:r>
        <w:t xml:space="preserve">8) Risk Register and Countermeasures</w:t>
      </w:r>
    </w:p>
    <w:bookmarkEnd w:id="40"/>
    <w:bookmarkStart w:id="41" w:name="strategic-risks"/>
    <w:p>
      <w:pPr>
        <w:pStyle w:val="Heading2"/>
      </w:pPr>
      <w:r>
        <w:t xml:space="preserve">Strategic Risks</w:t>
      </w:r>
    </w:p>
    <w:p>
      <w:pPr>
        <w:pStyle w:val="Compact"/>
        <w:numPr>
          <w:ilvl w:val="0"/>
          <w:numId w:val="1070"/>
        </w:numPr>
      </w:pPr>
      <w:r>
        <w:t xml:space="preserve">Category confusion with generic trust badges.</w:t>
      </w:r>
    </w:p>
    <w:p>
      <w:pPr>
        <w:pStyle w:val="Compact"/>
        <w:numPr>
          <w:ilvl w:val="0"/>
          <w:numId w:val="1070"/>
        </w:numPr>
      </w:pPr>
      <w:r>
        <w:t xml:space="preserve">Competitor narrative hijacking.</w:t>
      </w:r>
    </w:p>
    <w:p>
      <w:pPr>
        <w:pStyle w:val="Compact"/>
        <w:numPr>
          <w:ilvl w:val="0"/>
          <w:numId w:val="1070"/>
        </w:numPr>
      </w:pPr>
      <w:r>
        <w:t xml:space="preserve">Institutional skepticism due to novelty.</w:t>
      </w:r>
    </w:p>
    <w:p>
      <w:pPr>
        <w:pStyle w:val="FirstParagraph"/>
      </w:pPr>
      <w:r>
        <w:t xml:space="preserve">Countermeasures:</w:t>
      </w:r>
    </w:p>
    <w:p>
      <w:pPr>
        <w:pStyle w:val="Compact"/>
        <w:numPr>
          <w:ilvl w:val="0"/>
          <w:numId w:val="1071"/>
        </w:numPr>
      </w:pPr>
      <w:r>
        <w:t xml:space="preserve">Canonical definitions and standards papers.</w:t>
      </w:r>
    </w:p>
    <w:p>
      <w:pPr>
        <w:pStyle w:val="Compact"/>
        <w:numPr>
          <w:ilvl w:val="0"/>
          <w:numId w:val="1071"/>
        </w:numPr>
      </w:pPr>
      <w:r>
        <w:t xml:space="preserve">External endorsements and advisory board.</w:t>
      </w:r>
    </w:p>
    <w:p>
      <w:pPr>
        <w:pStyle w:val="Compact"/>
        <w:numPr>
          <w:ilvl w:val="0"/>
          <w:numId w:val="1071"/>
        </w:numPr>
      </w:pPr>
      <w:r>
        <w:t xml:space="preserve">Public methods and evidence repository.</w:t>
      </w:r>
    </w:p>
    <w:bookmarkEnd w:id="41"/>
    <w:bookmarkStart w:id="42" w:name="operational-risks"/>
    <w:p>
      <w:pPr>
        <w:pStyle w:val="Heading2"/>
      </w:pPr>
      <w:r>
        <w:t xml:space="preserve">Operational Risks</w:t>
      </w:r>
    </w:p>
    <w:p>
      <w:pPr>
        <w:pStyle w:val="Compact"/>
        <w:numPr>
          <w:ilvl w:val="0"/>
          <w:numId w:val="1072"/>
        </w:numPr>
      </w:pPr>
      <w:r>
        <w:t xml:space="preserve">Growth velocity creates compliance drift.</w:t>
      </w:r>
    </w:p>
    <w:p>
      <w:pPr>
        <w:pStyle w:val="Compact"/>
        <w:numPr>
          <w:ilvl w:val="0"/>
          <w:numId w:val="1072"/>
        </w:numPr>
      </w:pPr>
      <w:r>
        <w:t xml:space="preserve">Data quality issues reduce credibility.</w:t>
      </w:r>
    </w:p>
    <w:p>
      <w:pPr>
        <w:pStyle w:val="Compact"/>
        <w:numPr>
          <w:ilvl w:val="0"/>
          <w:numId w:val="1072"/>
        </w:numPr>
      </w:pPr>
      <w:r>
        <w:t xml:space="preserve">Team bottlenecks in high-dependency workflows.</w:t>
      </w:r>
    </w:p>
    <w:p>
      <w:pPr>
        <w:pStyle w:val="FirstParagraph"/>
      </w:pPr>
      <w:r>
        <w:t xml:space="preserve">Countermeasures:</w:t>
      </w:r>
    </w:p>
    <w:p>
      <w:pPr>
        <w:pStyle w:val="Compact"/>
        <w:numPr>
          <w:ilvl w:val="0"/>
          <w:numId w:val="1073"/>
        </w:numPr>
      </w:pPr>
      <w:r>
        <w:t xml:space="preserve">Manifesto drift routine and gate enforcement.</w:t>
      </w:r>
    </w:p>
    <w:p>
      <w:pPr>
        <w:pStyle w:val="Compact"/>
        <w:numPr>
          <w:ilvl w:val="0"/>
          <w:numId w:val="1073"/>
        </w:numPr>
      </w:pPr>
      <w:r>
        <w:t xml:space="preserve">Data quality score and reconciliation routine.</w:t>
      </w:r>
    </w:p>
    <w:p>
      <w:pPr>
        <w:pStyle w:val="Compact"/>
        <w:numPr>
          <w:ilvl w:val="0"/>
          <w:numId w:val="1073"/>
        </w:numPr>
      </w:pPr>
      <w:r>
        <w:t xml:space="preserve">Explicit blocker management in Paperclip.</w:t>
      </w:r>
    </w:p>
    <w:bookmarkEnd w:id="42"/>
    <w:bookmarkStart w:id="43" w:name="reputational-risks"/>
    <w:p>
      <w:pPr>
        <w:pStyle w:val="Heading2"/>
      </w:pPr>
      <w:r>
        <w:t xml:space="preserve">Reputational Risks</w:t>
      </w:r>
    </w:p>
    <w:p>
      <w:pPr>
        <w:pStyle w:val="Compact"/>
        <w:numPr>
          <w:ilvl w:val="0"/>
          <w:numId w:val="1074"/>
        </w:numPr>
      </w:pPr>
      <w:r>
        <w:t xml:space="preserve">Overclaiming impact metrics.</w:t>
      </w:r>
    </w:p>
    <w:p>
      <w:pPr>
        <w:pStyle w:val="Compact"/>
        <w:numPr>
          <w:ilvl w:val="0"/>
          <w:numId w:val="1074"/>
        </w:numPr>
      </w:pPr>
      <w:r>
        <w:t xml:space="preserve">Perception of moral branding without rigor.</w:t>
      </w:r>
    </w:p>
    <w:p>
      <w:pPr>
        <w:pStyle w:val="FirstParagraph"/>
      </w:pPr>
      <w:r>
        <w:t xml:space="preserve">Countermeasures:</w:t>
      </w:r>
    </w:p>
    <w:p>
      <w:pPr>
        <w:pStyle w:val="Compact"/>
        <w:numPr>
          <w:ilvl w:val="0"/>
          <w:numId w:val="1075"/>
        </w:numPr>
      </w:pPr>
      <w:r>
        <w:t xml:space="preserve">Evidence sign-off before claim publication.</w:t>
      </w:r>
    </w:p>
    <w:p>
      <w:pPr>
        <w:pStyle w:val="Compact"/>
        <w:numPr>
          <w:ilvl w:val="0"/>
          <w:numId w:val="1075"/>
        </w:numPr>
      </w:pPr>
      <w:r>
        <w:t xml:space="preserve">Publish limitations and correction logs.</w:t>
      </w:r>
    </w:p>
    <w:p>
      <w:r>
        <w:pict>
          <v:rect style="width:0;height:1.5pt" o:hralign="center" o:hrstd="t" o:hr="t"/>
        </w:pict>
      </w:r>
    </w:p>
    <w:bookmarkEnd w:id="43"/>
    <w:bookmarkStart w:id="44" w:name="talent-and-capability-plan"/>
    <w:p>
      <w:pPr>
        <w:pStyle w:val="Heading2"/>
      </w:pPr>
      <w:r>
        <w:t xml:space="preserve">9) Talent and Capability Plan</w:t>
      </w:r>
    </w:p>
    <w:p>
      <w:pPr>
        <w:pStyle w:val="FirstParagraph"/>
      </w:pPr>
      <w:r>
        <w:t xml:space="preserve">Critical hires or agent specializations:</w:t>
      </w:r>
    </w:p>
    <w:p>
      <w:pPr>
        <w:pStyle w:val="Compact"/>
        <w:numPr>
          <w:ilvl w:val="0"/>
          <w:numId w:val="1076"/>
        </w:numPr>
      </w:pPr>
      <w:r>
        <w:t xml:space="preserve">Standards and policy strategist.</w:t>
      </w:r>
    </w:p>
    <w:p>
      <w:pPr>
        <w:pStyle w:val="Compact"/>
        <w:numPr>
          <w:ilvl w:val="0"/>
          <w:numId w:val="1076"/>
        </w:numPr>
      </w:pPr>
      <w:r>
        <w:t xml:space="preserve">Applied research lead.</w:t>
      </w:r>
    </w:p>
    <w:p>
      <w:pPr>
        <w:pStyle w:val="Compact"/>
        <w:numPr>
          <w:ilvl w:val="0"/>
          <w:numId w:val="1076"/>
        </w:numPr>
      </w:pPr>
      <w:r>
        <w:t xml:space="preserve">Enterprise solutions architect.</w:t>
      </w:r>
    </w:p>
    <w:p>
      <w:pPr>
        <w:pStyle w:val="Compact"/>
        <w:numPr>
          <w:ilvl w:val="0"/>
          <w:numId w:val="1076"/>
        </w:numPr>
      </w:pPr>
      <w:r>
        <w:t xml:space="preserve">Partnerships principal by region.</w:t>
      </w:r>
    </w:p>
    <w:p>
      <w:pPr>
        <w:pStyle w:val="Compact"/>
        <w:numPr>
          <w:ilvl w:val="0"/>
          <w:numId w:val="1076"/>
        </w:numPr>
      </w:pPr>
      <w:r>
        <w:t xml:space="preserve">Multilingual editorial lead.</w:t>
      </w:r>
    </w:p>
    <w:p>
      <w:pPr>
        <w:pStyle w:val="Compact"/>
        <w:numPr>
          <w:ilvl w:val="0"/>
          <w:numId w:val="1076"/>
        </w:numPr>
      </w:pPr>
      <w:r>
        <w:t xml:space="preserve">Trust and safety engineer.</w:t>
      </w:r>
    </w:p>
    <w:p>
      <w:pPr>
        <w:pStyle w:val="FirstParagraph"/>
      </w:pPr>
      <w:r>
        <w:t xml:space="preserve">Enablement systems:</w:t>
      </w:r>
    </w:p>
    <w:p>
      <w:pPr>
        <w:pStyle w:val="Compact"/>
        <w:numPr>
          <w:ilvl w:val="0"/>
          <w:numId w:val="1077"/>
        </w:numPr>
      </w:pPr>
      <w:r>
        <w:t xml:space="preserve">Internal academy for manifesto-compliant marketing.</w:t>
      </w:r>
    </w:p>
    <w:p>
      <w:pPr>
        <w:pStyle w:val="Compact"/>
        <w:numPr>
          <w:ilvl w:val="0"/>
          <w:numId w:val="1077"/>
        </w:numPr>
      </w:pPr>
      <w:r>
        <w:t xml:space="preserve">Playbook library with issue-linked templates.</w:t>
      </w:r>
    </w:p>
    <w:p>
      <w:pPr>
        <w:pStyle w:val="Compact"/>
        <w:numPr>
          <w:ilvl w:val="0"/>
          <w:numId w:val="1077"/>
        </w:numPr>
      </w:pPr>
      <w:r>
        <w:t xml:space="preserve">Incident simulation and scenario drills.</w:t>
      </w:r>
    </w:p>
    <w:p>
      <w:r>
        <w:pict>
          <v:rect style="width:0;height:1.5pt" o:hralign="center" o:hrstd="t" o:hr="t"/>
        </w:pict>
      </w:r>
    </w:p>
    <w:bookmarkEnd w:id="44"/>
    <w:bookmarkStart w:id="45" w:name="financial-and-resource-envelope"/>
    <w:p>
      <w:pPr>
        <w:pStyle w:val="Heading2"/>
      </w:pPr>
      <w:r>
        <w:t xml:space="preserve">10) Financial and Resource Envelope</w:t>
      </w:r>
    </w:p>
    <w:p>
      <w:pPr>
        <w:pStyle w:val="FirstParagraph"/>
      </w:pPr>
      <w:r>
        <w:t xml:space="preserve">Budget bands by stage:</w:t>
      </w:r>
    </w:p>
    <w:p>
      <w:pPr>
        <w:pStyle w:val="Compact"/>
        <w:numPr>
          <w:ilvl w:val="0"/>
          <w:numId w:val="1078"/>
        </w:numPr>
      </w:pPr>
      <w:r>
        <w:t xml:space="preserve">Stage I (0-6 months): Evidence and foundation heavy.</w:t>
      </w:r>
    </w:p>
    <w:p>
      <w:pPr>
        <w:pStyle w:val="Compact"/>
        <w:numPr>
          <w:ilvl w:val="0"/>
          <w:numId w:val="1078"/>
        </w:numPr>
      </w:pPr>
      <w:r>
        <w:t xml:space="preserve">Stage II (6-18 months): Productization and distribution heavy.</w:t>
      </w:r>
    </w:p>
    <w:p>
      <w:pPr>
        <w:pStyle w:val="Compact"/>
        <w:numPr>
          <w:ilvl w:val="0"/>
          <w:numId w:val="1078"/>
        </w:numPr>
      </w:pPr>
      <w:r>
        <w:t xml:space="preserve">Stage III (18-36 months): Standards, governance, and global scaling heavy.</w:t>
      </w:r>
    </w:p>
    <w:p>
      <w:pPr>
        <w:pStyle w:val="FirstParagraph"/>
      </w:pPr>
      <w:r>
        <w:t xml:space="preserve">Capital allocation priorities:</w:t>
      </w:r>
    </w:p>
    <w:p>
      <w:pPr>
        <w:pStyle w:val="Compact"/>
        <w:numPr>
          <w:ilvl w:val="0"/>
          <w:numId w:val="1079"/>
        </w:numPr>
      </w:pPr>
      <w:r>
        <w:t xml:space="preserve">30% product and platform reliability.</w:t>
      </w:r>
    </w:p>
    <w:p>
      <w:pPr>
        <w:pStyle w:val="Compact"/>
        <w:numPr>
          <w:ilvl w:val="0"/>
          <w:numId w:val="1079"/>
        </w:numPr>
      </w:pPr>
      <w:r>
        <w:t xml:space="preserve">25% distribution and partnerships.</w:t>
      </w:r>
    </w:p>
    <w:p>
      <w:pPr>
        <w:pStyle w:val="Compact"/>
        <w:numPr>
          <w:ilvl w:val="0"/>
          <w:numId w:val="1079"/>
        </w:numPr>
      </w:pPr>
      <w:r>
        <w:t xml:space="preserve">20% research and validation.</w:t>
      </w:r>
    </w:p>
    <w:p>
      <w:pPr>
        <w:pStyle w:val="Compact"/>
        <w:numPr>
          <w:ilvl w:val="0"/>
          <w:numId w:val="1079"/>
        </w:numPr>
      </w:pPr>
      <w:r>
        <w:t xml:space="preserve">15% governance, trust, and transparency.</w:t>
      </w:r>
    </w:p>
    <w:p>
      <w:pPr>
        <w:pStyle w:val="Compact"/>
        <w:numPr>
          <w:ilvl w:val="0"/>
          <w:numId w:val="1079"/>
        </w:numPr>
      </w:pPr>
      <w:r>
        <w:t xml:space="preserve">10% experimentation reserve.</w:t>
      </w:r>
    </w:p>
    <w:p>
      <w:r>
        <w:pict>
          <v:rect style="width:0;height:1.5pt" o:hralign="center" o:hrstd="t" o:hr="t"/>
        </w:pict>
      </w:r>
    </w:p>
    <w:bookmarkEnd w:id="45"/>
    <w:bookmarkStart w:id="46" w:name="Xf2c7b8645a29162e638aa6f2ae7e3bc0b3724d2"/>
    <w:p>
      <w:pPr>
        <w:pStyle w:val="Heading2"/>
      </w:pPr>
      <w:r>
        <w:t xml:space="preserve">11) Paperclip Implementation Blueprint (Immediate Setup)</w:t>
      </w:r>
    </w:p>
    <w:p>
      <w:pPr>
        <w:pStyle w:val="FirstParagraph"/>
      </w:pPr>
      <w:r>
        <w:t xml:space="preserve">Create the following in Paperclip during kickoff:</w:t>
      </w:r>
    </w:p>
    <w:bookmarkEnd w:id="46"/>
    <w:bookmarkStart w:id="47" w:name="goals"/>
    <w:p>
      <w:pPr>
        <w:pStyle w:val="Heading2"/>
      </w:pPr>
      <w:r>
        <w:t xml:space="preserve">11.1 Goals</w:t>
      </w:r>
    </w:p>
    <w:p>
      <w:pPr>
        <w:pStyle w:val="Compact"/>
        <w:numPr>
          <w:ilvl w:val="0"/>
          <w:numId w:val="1080"/>
        </w:numPr>
      </w:pPr>
      <w:r>
        <w:t xml:space="preserve">G1: Global trust category leadership.</w:t>
      </w:r>
    </w:p>
    <w:p>
      <w:pPr>
        <w:pStyle w:val="Compact"/>
        <w:numPr>
          <w:ilvl w:val="0"/>
          <w:numId w:val="1080"/>
        </w:numPr>
      </w:pPr>
      <w:r>
        <w:t xml:space="preserve">G2: Awaricon adoption at scale.</w:t>
      </w:r>
    </w:p>
    <w:p>
      <w:pPr>
        <w:pStyle w:val="Compact"/>
        <w:numPr>
          <w:ilvl w:val="0"/>
          <w:numId w:val="1080"/>
        </w:numPr>
      </w:pPr>
      <w:r>
        <w:t xml:space="preserve">G3: Transparent, manifesto-compliant growth.</w:t>
      </w:r>
    </w:p>
    <w:bookmarkEnd w:id="47"/>
    <w:bookmarkStart w:id="48" w:name="projects"/>
    <w:p>
      <w:pPr>
        <w:pStyle w:val="Heading2"/>
      </w:pPr>
      <w:r>
        <w:t xml:space="preserve">11.2 Projects</w:t>
      </w:r>
    </w:p>
    <w:p>
      <w:pPr>
        <w:pStyle w:val="Compact"/>
        <w:numPr>
          <w:ilvl w:val="0"/>
          <w:numId w:val="1081"/>
        </w:numPr>
      </w:pPr>
      <w:r>
        <w:t xml:space="preserve">P1: Baseline and instrumentation.</w:t>
      </w:r>
    </w:p>
    <w:p>
      <w:pPr>
        <w:pStyle w:val="Compact"/>
        <w:numPr>
          <w:ilvl w:val="0"/>
          <w:numId w:val="1081"/>
        </w:numPr>
      </w:pPr>
      <w:r>
        <w:t xml:space="preserve">P2: Research and standards.</w:t>
      </w:r>
    </w:p>
    <w:p>
      <w:pPr>
        <w:pStyle w:val="Compact"/>
        <w:numPr>
          <w:ilvl w:val="0"/>
          <w:numId w:val="1081"/>
        </w:numPr>
      </w:pPr>
      <w:r>
        <w:t xml:space="preserve">P3: Anchor 50 adoption.</w:t>
      </w:r>
    </w:p>
    <w:p>
      <w:pPr>
        <w:pStyle w:val="Compact"/>
        <w:numPr>
          <w:ilvl w:val="0"/>
          <w:numId w:val="1081"/>
        </w:numPr>
      </w:pPr>
      <w:r>
        <w:t xml:space="preserve">P4: Platform and integrations.</w:t>
      </w:r>
    </w:p>
    <w:p>
      <w:pPr>
        <w:pStyle w:val="Compact"/>
        <w:numPr>
          <w:ilvl w:val="0"/>
          <w:numId w:val="1081"/>
        </w:numPr>
      </w:pPr>
      <w:r>
        <w:t xml:space="preserve">P5: Global distribution mesh.</w:t>
      </w:r>
    </w:p>
    <w:p>
      <w:pPr>
        <w:pStyle w:val="Compact"/>
        <w:numPr>
          <w:ilvl w:val="0"/>
          <w:numId w:val="1081"/>
        </w:numPr>
      </w:pPr>
      <w:r>
        <w:t xml:space="preserve">P6: Governance and audits.</w:t>
      </w:r>
    </w:p>
    <w:bookmarkEnd w:id="48"/>
    <w:bookmarkStart w:id="49" w:name="reusable-issue-templates"/>
    <w:p>
      <w:pPr>
        <w:pStyle w:val="Heading2"/>
      </w:pPr>
      <w:r>
        <w:t xml:space="preserve">11.3 Reusable Issue Templates</w:t>
      </w:r>
    </w:p>
    <w:p>
      <w:pPr>
        <w:pStyle w:val="Compact"/>
        <w:numPr>
          <w:ilvl w:val="0"/>
          <w:numId w:val="1082"/>
        </w:numPr>
      </w:pPr>
      <w:r>
        <w:t xml:space="preserve">Campaign Issue: hypothesis, audience, principle mapping, KPI target, evidence link.</w:t>
      </w:r>
    </w:p>
    <w:p>
      <w:pPr>
        <w:pStyle w:val="Compact"/>
        <w:numPr>
          <w:ilvl w:val="0"/>
          <w:numId w:val="1082"/>
        </w:numPr>
      </w:pPr>
      <w:r>
        <w:t xml:space="preserve">Partnership Issue: partner profile, value thesis, risk review, required approvals.</w:t>
      </w:r>
    </w:p>
    <w:p>
      <w:pPr>
        <w:pStyle w:val="Compact"/>
        <w:numPr>
          <w:ilvl w:val="0"/>
          <w:numId w:val="1082"/>
        </w:numPr>
      </w:pPr>
      <w:r>
        <w:t xml:space="preserve">Product Issue: user story, threat model, observability checklist.</w:t>
      </w:r>
    </w:p>
    <w:p>
      <w:pPr>
        <w:pStyle w:val="Compact"/>
        <w:numPr>
          <w:ilvl w:val="0"/>
          <w:numId w:val="1082"/>
        </w:numPr>
      </w:pPr>
      <w:r>
        <w:t xml:space="preserve">Research Issue: methods, sources, expected uncertainty, publication channel.</w:t>
      </w:r>
    </w:p>
    <w:p>
      <w:pPr>
        <w:pStyle w:val="Compact"/>
        <w:numPr>
          <w:ilvl w:val="0"/>
          <w:numId w:val="1082"/>
        </w:numPr>
      </w:pPr>
      <w:r>
        <w:t xml:space="preserve">Transparency Issue: data references, caveats, correction path.</w:t>
      </w:r>
    </w:p>
    <w:bookmarkEnd w:id="49"/>
    <w:bookmarkStart w:id="50" w:name="approval-matrix"/>
    <w:p>
      <w:pPr>
        <w:pStyle w:val="Heading2"/>
      </w:pPr>
      <w:r>
        <w:t xml:space="preserve">11.4 Approval Matrix</w:t>
      </w:r>
    </w:p>
    <w:p>
      <w:pPr>
        <w:pStyle w:val="Compact"/>
        <w:numPr>
          <w:ilvl w:val="0"/>
          <w:numId w:val="1083"/>
        </w:numPr>
      </w:pPr>
      <w:r>
        <w:t xml:space="preserve">Public narrative change: CEO + Evidence Lead.</w:t>
      </w:r>
    </w:p>
    <w:p>
      <w:pPr>
        <w:pStyle w:val="Compact"/>
        <w:numPr>
          <w:ilvl w:val="0"/>
          <w:numId w:val="1083"/>
        </w:numPr>
      </w:pPr>
      <w:r>
        <w:t xml:space="preserve">Pricing and terms: CEO + CRO + Governance Lead.</w:t>
      </w:r>
    </w:p>
    <w:p>
      <w:pPr>
        <w:pStyle w:val="Compact"/>
        <w:numPr>
          <w:ilvl w:val="0"/>
          <w:numId w:val="1083"/>
        </w:numPr>
      </w:pPr>
      <w:r>
        <w:t xml:space="preserve">Scoring algorithm changes: CPO + CTO + Evidence Lead.</w:t>
      </w:r>
    </w:p>
    <w:p>
      <w:pPr>
        <w:pStyle w:val="Compact"/>
        <w:numPr>
          <w:ilvl w:val="0"/>
          <w:numId w:val="1083"/>
        </w:numPr>
      </w:pPr>
      <w:r>
        <w:t xml:space="preserve">Institutional commitments: CEO + CSO.</w:t>
      </w:r>
    </w:p>
    <w:p>
      <w:r>
        <w:pict>
          <v:rect style="width:0;height:1.5pt" o:hralign="center" o:hrstd="t" o:hr="t"/>
        </w:pict>
      </w:r>
    </w:p>
    <w:bookmarkEnd w:id="50"/>
    <w:bookmarkStart w:id="51" w:name="milestone-table-quarterly"/>
    <w:p>
      <w:pPr>
        <w:pStyle w:val="Heading2"/>
      </w:pPr>
      <w:r>
        <w:t xml:space="preserve">12) Milestone Table (Quarterly)</w:t>
      </w:r>
    </w:p>
    <w:p>
      <w:pPr>
        <w:pStyle w:val="FirstParagraph"/>
      </w:pPr>
      <w:r>
        <w:t xml:space="preserve">Q1:</w:t>
      </w:r>
    </w:p>
    <w:p>
      <w:pPr>
        <w:pStyle w:val="Compact"/>
        <w:numPr>
          <w:ilvl w:val="0"/>
          <w:numId w:val="1084"/>
        </w:numPr>
      </w:pPr>
      <w:r>
        <w:t xml:space="preserve">Baseline complete.</w:t>
      </w:r>
    </w:p>
    <w:p>
      <w:pPr>
        <w:pStyle w:val="Compact"/>
        <w:numPr>
          <w:ilvl w:val="0"/>
          <w:numId w:val="1084"/>
        </w:numPr>
      </w:pPr>
      <w:r>
        <w:t xml:space="preserve">Narrative launched.</w:t>
      </w:r>
    </w:p>
    <w:p>
      <w:pPr>
        <w:pStyle w:val="Compact"/>
        <w:numPr>
          <w:ilvl w:val="0"/>
          <w:numId w:val="1084"/>
        </w:numPr>
      </w:pPr>
      <w:r>
        <w:t xml:space="preserve">Anchor pilots started.</w:t>
      </w:r>
    </w:p>
    <w:p>
      <w:pPr>
        <w:pStyle w:val="FirstParagraph"/>
      </w:pPr>
      <w:r>
        <w:t xml:space="preserve">Q2:</w:t>
      </w:r>
    </w:p>
    <w:p>
      <w:pPr>
        <w:pStyle w:val="Compact"/>
        <w:numPr>
          <w:ilvl w:val="0"/>
          <w:numId w:val="1085"/>
        </w:numPr>
      </w:pPr>
      <w:r>
        <w:t xml:space="preserve">First major cohort onboarded.</w:t>
      </w:r>
    </w:p>
    <w:p>
      <w:pPr>
        <w:pStyle w:val="Compact"/>
        <w:numPr>
          <w:ilvl w:val="0"/>
          <w:numId w:val="1085"/>
        </w:numPr>
      </w:pPr>
      <w:r>
        <w:t xml:space="preserve">API and plugin stack live.</w:t>
      </w:r>
    </w:p>
    <w:p>
      <w:pPr>
        <w:pStyle w:val="Compact"/>
        <w:numPr>
          <w:ilvl w:val="0"/>
          <w:numId w:val="1085"/>
        </w:numPr>
      </w:pPr>
      <w:r>
        <w:t xml:space="preserve">First transparency report published.</w:t>
      </w:r>
    </w:p>
    <w:p>
      <w:pPr>
        <w:pStyle w:val="FirstParagraph"/>
      </w:pPr>
      <w:r>
        <w:t xml:space="preserve">Q3:</w:t>
      </w:r>
    </w:p>
    <w:p>
      <w:pPr>
        <w:pStyle w:val="Compact"/>
        <w:numPr>
          <w:ilvl w:val="0"/>
          <w:numId w:val="1086"/>
        </w:numPr>
      </w:pPr>
      <w:r>
        <w:t xml:space="preserve">Regional expansion underway.</w:t>
      </w:r>
    </w:p>
    <w:p>
      <w:pPr>
        <w:pStyle w:val="Compact"/>
        <w:numPr>
          <w:ilvl w:val="0"/>
          <w:numId w:val="1086"/>
        </w:numPr>
      </w:pPr>
      <w:r>
        <w:t xml:space="preserve">Institutional references increasing.</w:t>
      </w:r>
    </w:p>
    <w:p>
      <w:pPr>
        <w:pStyle w:val="Compact"/>
        <w:numPr>
          <w:ilvl w:val="0"/>
          <w:numId w:val="1086"/>
        </w:numPr>
      </w:pPr>
      <w:r>
        <w:t xml:space="preserve">Partner accreditation pilot active.</w:t>
      </w:r>
    </w:p>
    <w:p>
      <w:pPr>
        <w:pStyle w:val="FirstParagraph"/>
      </w:pPr>
      <w:r>
        <w:t xml:space="preserve">Q4:</w:t>
      </w:r>
    </w:p>
    <w:p>
      <w:pPr>
        <w:pStyle w:val="Compact"/>
        <w:numPr>
          <w:ilvl w:val="0"/>
          <w:numId w:val="1087"/>
        </w:numPr>
      </w:pPr>
      <w:r>
        <w:t xml:space="preserve">Standards council formalized.</w:t>
      </w:r>
    </w:p>
    <w:p>
      <w:pPr>
        <w:pStyle w:val="Compact"/>
        <w:numPr>
          <w:ilvl w:val="0"/>
          <w:numId w:val="1087"/>
        </w:numPr>
      </w:pPr>
      <w:r>
        <w:t xml:space="preserve">Procurement pathway integrations begin.</w:t>
      </w:r>
    </w:p>
    <w:p>
      <w:pPr>
        <w:pStyle w:val="Compact"/>
        <w:numPr>
          <w:ilvl w:val="0"/>
          <w:numId w:val="1087"/>
        </w:numPr>
      </w:pPr>
      <w:r>
        <w:t xml:space="preserve">Verified request volume crosses major threshold.</w:t>
      </w:r>
    </w:p>
    <w:p>
      <w:pPr>
        <w:pStyle w:val="FirstParagraph"/>
      </w:pPr>
      <w:r>
        <w:t xml:space="preserve">Q5-Q8:</w:t>
      </w:r>
    </w:p>
    <w:p>
      <w:pPr>
        <w:pStyle w:val="Compact"/>
        <w:numPr>
          <w:ilvl w:val="0"/>
          <w:numId w:val="1088"/>
        </w:numPr>
      </w:pPr>
      <w:r>
        <w:t xml:space="preserve">Multi-sector institutionalization.</w:t>
      </w:r>
    </w:p>
    <w:p>
      <w:pPr>
        <w:pStyle w:val="Compact"/>
        <w:numPr>
          <w:ilvl w:val="0"/>
          <w:numId w:val="1088"/>
        </w:numPr>
      </w:pPr>
      <w:r>
        <w:t xml:space="preserve">Revenue durability with access equity.</w:t>
      </w:r>
    </w:p>
    <w:p>
      <w:pPr>
        <w:pStyle w:val="Compact"/>
        <w:numPr>
          <w:ilvl w:val="0"/>
          <w:numId w:val="1088"/>
        </w:numPr>
      </w:pPr>
      <w:r>
        <w:t xml:space="preserve">Independent audits and governance maturity leadership.</w:t>
      </w:r>
    </w:p>
    <w:p>
      <w:r>
        <w:pict>
          <v:rect style="width:0;height:1.5pt" o:hralign="center" o:hrstd="t" o:hr="t"/>
        </w:pict>
      </w:r>
    </w:p>
    <w:bookmarkEnd w:id="51"/>
    <w:bookmarkStart w:id="52" w:name="what-success-looks-like-in-reality"/>
    <w:p>
      <w:pPr>
        <w:pStyle w:val="Heading2"/>
      </w:pPr>
      <w:r>
        <w:t xml:space="preserve">13) What Success Looks Like in Reality</w:t>
      </w:r>
    </w:p>
    <w:p>
      <w:pPr>
        <w:pStyle w:val="FirstParagraph"/>
      </w:pPr>
      <w:r>
        <w:t xml:space="preserve">At maturity, Forever Lotus is not just a successful agency. It is:</w:t>
      </w:r>
    </w:p>
    <w:p>
      <w:pPr>
        <w:pStyle w:val="Compact"/>
        <w:numPr>
          <w:ilvl w:val="0"/>
          <w:numId w:val="1089"/>
        </w:numPr>
      </w:pPr>
      <w:r>
        <w:t xml:space="preserve">The trusted operator for dignity-first market growth.</w:t>
      </w:r>
    </w:p>
    <w:p>
      <w:pPr>
        <w:pStyle w:val="Compact"/>
        <w:numPr>
          <w:ilvl w:val="0"/>
          <w:numId w:val="1089"/>
        </w:numPr>
      </w:pPr>
      <w:r>
        <w:t xml:space="preserve">The default authority for proof-of-presence verification.</w:t>
      </w:r>
    </w:p>
    <w:p>
      <w:pPr>
        <w:pStyle w:val="Compact"/>
        <w:numPr>
          <w:ilvl w:val="0"/>
          <w:numId w:val="1089"/>
        </w:numPr>
      </w:pPr>
      <w:r>
        <w:t xml:space="preserve">A standards-bearing institution that can scale without losing soul.</w:t>
      </w:r>
    </w:p>
    <w:p>
      <w:pPr>
        <w:pStyle w:val="FirstParagraph"/>
      </w:pPr>
      <w:r>
        <w:t xml:space="preserve">This is how Forever Lotus becomes number 1: not by louder marketing, but by the highest-compounding combination of trust, evidence, adoption, and moral consistency.</w:t>
      </w:r>
    </w:p>
    <w:p>
      <w:r>
        <w:pict>
          <v:rect style="width:0;height:1.5pt" o:hralign="center" o:hrstd="t" o:hr="t"/>
        </w:pict>
      </w:r>
    </w:p>
    <w:bookmarkEnd w:id="52"/>
    <w:bookmarkStart w:id="53" w:name="Xa14f9f3f3a167368fe0df56ef94a8b210002539"/>
    <w:p>
      <w:pPr>
        <w:pStyle w:val="Heading2"/>
      </w:pPr>
      <w:r>
        <w:t xml:space="preserve">14) Immediate Next 10 Actions (Start This Week)</w:t>
      </w:r>
    </w:p>
    <w:p>
      <w:pPr>
        <w:pStyle w:val="Compact"/>
        <w:numPr>
          <w:ilvl w:val="0"/>
          <w:numId w:val="1090"/>
        </w:numPr>
      </w:pPr>
      <w:r>
        <w:t xml:space="preserve">Instantiate Paperclip goal and project tree.</w:t>
      </w:r>
    </w:p>
    <w:p>
      <w:pPr>
        <w:pStyle w:val="Compact"/>
        <w:numPr>
          <w:ilvl w:val="0"/>
          <w:numId w:val="1090"/>
        </w:numPr>
      </w:pPr>
      <w:r>
        <w:t xml:space="preserve">Configure issue templates and approval workflows.</w:t>
      </w:r>
    </w:p>
    <w:p>
      <w:pPr>
        <w:pStyle w:val="Compact"/>
        <w:numPr>
          <w:ilvl w:val="0"/>
          <w:numId w:val="1090"/>
        </w:numPr>
      </w:pPr>
      <w:r>
        <w:t xml:space="preserve">Ship baseline KPI dashboard and data quality checks.</w:t>
      </w:r>
    </w:p>
    <w:p>
      <w:pPr>
        <w:pStyle w:val="Compact"/>
        <w:numPr>
          <w:ilvl w:val="0"/>
          <w:numId w:val="1090"/>
        </w:numPr>
      </w:pPr>
      <w:r>
        <w:t xml:space="preserve">Finalize Awaricon technical standard v1 draft structure.</w:t>
      </w:r>
    </w:p>
    <w:p>
      <w:pPr>
        <w:pStyle w:val="Compact"/>
        <w:numPr>
          <w:ilvl w:val="0"/>
          <w:numId w:val="1090"/>
        </w:numPr>
      </w:pPr>
      <w:r>
        <w:t xml:space="preserve">Launch first 20 anchor outreach profiles.</w:t>
      </w:r>
    </w:p>
    <w:p>
      <w:pPr>
        <w:pStyle w:val="Compact"/>
        <w:numPr>
          <w:ilvl w:val="0"/>
          <w:numId w:val="1090"/>
        </w:numPr>
      </w:pPr>
      <w:r>
        <w:t xml:space="preserve">Publish first two category-defining thought pieces.</w:t>
      </w:r>
    </w:p>
    <w:p>
      <w:pPr>
        <w:pStyle w:val="Compact"/>
        <w:numPr>
          <w:ilvl w:val="0"/>
          <w:numId w:val="1090"/>
        </w:numPr>
      </w:pPr>
      <w:r>
        <w:t xml:space="preserve">Build weekly transparency digest pipeline.</w:t>
      </w:r>
    </w:p>
    <w:p>
      <w:pPr>
        <w:pStyle w:val="Compact"/>
        <w:numPr>
          <w:ilvl w:val="0"/>
          <w:numId w:val="1090"/>
        </w:numPr>
      </w:pPr>
      <w:r>
        <w:t xml:space="preserve">Begin plugin and API integration sprint planning.</w:t>
      </w:r>
    </w:p>
    <w:p>
      <w:pPr>
        <w:pStyle w:val="Compact"/>
        <w:numPr>
          <w:ilvl w:val="0"/>
          <w:numId w:val="1090"/>
        </w:numPr>
      </w:pPr>
      <w:r>
        <w:t xml:space="preserve">Recruit external advisory candidates.</w:t>
      </w:r>
    </w:p>
    <w:p>
      <w:pPr>
        <w:pStyle w:val="Compact"/>
        <w:numPr>
          <w:ilvl w:val="0"/>
          <w:numId w:val="1090"/>
        </w:numPr>
      </w:pPr>
      <w:r>
        <w:t xml:space="preserve">Schedule first monthly governance and risk review.</w:t>
      </w:r>
    </w:p>
    <w:p>
      <w:r>
        <w:pict>
          <v:rect style="width:0;height:1.5pt" o:hralign="center" o:hrstd="t" o:hr="t"/>
        </w:pict>
      </w:r>
    </w:p>
    <w:bookmarkEnd w:id="53"/>
    <w:bookmarkStart w:id="54" w:name="downloadable-artifact-note"/>
    <w:p>
      <w:pPr>
        <w:pStyle w:val="Heading2"/>
      </w:pPr>
      <w:r>
        <w:t xml:space="preserve">15) Downloadable Artifact Note</w:t>
      </w:r>
    </w:p>
    <w:p>
      <w:pPr>
        <w:pStyle w:val="FirstParagraph"/>
      </w:pPr>
      <w:r>
        <w:t xml:space="preserve">This document is the master downloadable phase plan. It is intended to be versioned and updated monthly as execution evidence accumulates.</w:t>
      </w:r>
    </w:p>
    <w:p>
      <w:pPr>
        <w:pStyle w:val="BodyText"/>
      </w:pPr>
      <w:r>
        <w:t xml:space="preserve">Recommended filename for distribution:</w:t>
      </w:r>
      <w:r>
        <w:t xml:space="preserve"> </w:t>
      </w:r>
      <w:r>
        <w:t xml:space="preserve">FOREVER_LOTUS_AWARICON_UNIVERSE_PLAN_v1_2026-04-06.md</w:t>
      </w:r>
    </w:p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2026-04-06T23:18:13Z</dcterms:created>
  <dcterms:modified xsi:type="dcterms:W3CDTF">2026-04-06T23:18:13Z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