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t>STRATEGY BRIEF</w:t>
      </w:r>
    </w:p>
    <w:p>
      <w:pPr>
        <w:spacing w:after="40"/>
        <w:jc w:val="left"/>
      </w:pPr>
      <w:r>
        <w:rPr>
          <w:rFonts w:ascii="Calibri" w:hAnsi="Calibri"/>
          <w:b/>
          <w:color w:val="0B2545"/>
          <w:sz w:val="48"/>
        </w:rPr>
        <w:t>WIN Material Intelligence Cloud</w:t>
      </w:r>
    </w:p>
    <w:p>
      <w:pPr>
        <w:spacing w:after="240"/>
      </w:pPr>
      <w:r>
        <w:rPr>
          <w:rFonts w:ascii="Calibri" w:hAnsi="Calibri"/>
          <w:color w:val="5C6574"/>
          <w:sz w:val="26"/>
        </w:rPr>
        <w:t>A high-value application concept for WIN Waste Innovations that converts operations data into customer retention, premium revenue, ESG proof, and routing intelligence.</w:t>
      </w:r>
    </w:p>
    <w:p>
      <w:pPr>
        <w:spacing w:after="40"/>
      </w:pPr>
      <w:r>
        <w:rPr>
          <w:rFonts w:ascii="Calibri" w:hAnsi="Calibri"/>
          <w:b/>
          <w:color w:val="0B2545"/>
          <w:sz w:val="21"/>
        </w:rPr>
        <w:t xml:space="preserve">Prepared for: </w:t>
      </w:r>
      <w:r>
        <w:rPr>
          <w:rFonts w:ascii="Calibri" w:hAnsi="Calibri"/>
          <w:color w:val="0B2545"/>
          <w:sz w:val="21"/>
        </w:rPr>
        <w:t>Exploratory product and strategy discussion</w:t>
      </w:r>
    </w:p>
    <w:p>
      <w:pPr>
        <w:spacing w:after="40"/>
      </w:pPr>
      <w:r>
        <w:rPr>
          <w:rFonts w:ascii="Calibri" w:hAnsi="Calibri"/>
          <w:b/>
          <w:color w:val="0B2545"/>
          <w:sz w:val="21"/>
        </w:rPr>
        <w:t xml:space="preserve">Prepared date: </w:t>
      </w:r>
      <w:r>
        <w:rPr>
          <w:rFonts w:ascii="Calibri" w:hAnsi="Calibri"/>
          <w:color w:val="0B2545"/>
          <w:sz w:val="21"/>
        </w:rPr>
        <w:t>June 9, 2026</w:t>
      </w:r>
    </w:p>
    <w:p>
      <w:pPr>
        <w:spacing w:after="40"/>
      </w:pPr>
      <w:r>
        <w:rPr>
          <w:rFonts w:ascii="Calibri" w:hAnsi="Calibri"/>
          <w:b/>
          <w:color w:val="0B2545"/>
          <w:sz w:val="21"/>
        </w:rPr>
        <w:t xml:space="preserve">Primary recommendation: </w:t>
      </w:r>
      <w:r>
        <w:rPr>
          <w:rFonts w:ascii="Calibri" w:hAnsi="Calibri"/>
          <w:color w:val="0B2545"/>
          <w:sz w:val="21"/>
        </w:rPr>
        <w:t>Build an integrated waste-stream intelligence platform around WIN's curb-to-grid, rail, recycling, special waste, and WTE capabilities.</w:t>
      </w:r>
    </w:p>
    <w:p>
      <w:pPr>
        <w:spacing w:after="40"/>
      </w:pPr>
      <w:r>
        <w:rPr>
          <w:rFonts w:ascii="Calibri" w:hAnsi="Calibri"/>
          <w:b/>
          <w:color w:val="0B2545"/>
          <w:sz w:val="21"/>
        </w:rPr>
        <w:t xml:space="preserve">Document type: </w:t>
      </w:r>
      <w:r>
        <w:rPr>
          <w:rFonts w:ascii="Calibri" w:hAnsi="Calibri"/>
          <w:color w:val="0B2545"/>
          <w:sz w:val="21"/>
        </w:rPr>
        <w:t>Executive product opportunity brief</w:t>
      </w:r>
    </w:p>
    <w:p>
      <w:pPr>
        <w:spacing w:before="200" w:after="200"/>
        <w:pBdr>
          <w:bottom w:val="single" w:sz="12" w:space="6" w:color="2E74B5"/>
        </w:pBdr>
      </w:pPr>
    </w:p>
    <w:tbl>
      <w:tblPr>
        <w:tblStyle w:val="TableGrid"/>
        <w:tblW w:type="dxa" w:w="9120"/>
        <w:jc w:val="left"/>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cMar>
            <w:vAlign w:val="center"/>
            <w:shd w:fill="F4F6F9"/>
          </w:tcPr>
          <w:p>
            <w:pPr>
              <w:spacing w:after="60"/>
            </w:pPr>
            <w:r>
              <w:rPr>
                <w:rFonts w:ascii="Calibri" w:hAnsi="Calibri"/>
                <w:b/>
                <w:color w:val="0B2545"/>
                <w:sz w:val="22"/>
              </w:rPr>
              <w:t>Recommendation in one sentence</w:t>
            </w:r>
          </w:p>
          <w:p>
            <w:pPr>
              <w:spacing w:after="0"/>
            </w:pPr>
            <w:r>
              <w:t>WIN should productize its operational and sustainability data into a live customer and operations platform that tells every account where its material went, what value it created, how service can be optimized, and what verified ESG claims the customer can safely use.</w:t>
            </w:r>
          </w:p>
        </w:tc>
      </w:tr>
    </w:tbl>
    <w:p>
      <w:pPr>
        <w:spacing w:after="80"/>
      </w:pPr>
    </w:p>
    <w:p>
      <w:pPr>
        <w:pStyle w:val="Heading1"/>
      </w:pPr>
      <w:r>
        <w:t>1. Executive Summary</w:t>
      </w:r>
    </w:p>
    <w:p>
      <w:r>
        <w:t>WIN Waste Innovations' public positioning is unusually strong: the company is not only a waste hauler, but an integrated collection, recycling, waste-to-energy, rail logistics, landfill, special waste, and sustainability operator. The most valuable application opportunity is therefore not another generic waste portal. It is a material intelligence layer that makes WIN's integrated infrastructure visible, measurable, and monetizable for customers and internal teams.</w:t>
      </w:r>
    </w:p>
    <w:p>
      <w:r>
        <w:t>The proposed application, WIN Material Intelligence Cloud, would create a verified digital account of each customer's waste stream. It would show material volumes, recycling outcomes, WTE conversion, recovered metals, rail vs. truck movement, landfill diversion, cost-saving recommendations, contamination issues, and ESG-ready outputs. For WIN, this becomes a customer-retention engine, premium analytics product, sales differentiator, and operational optimizer.</w:t>
      </w:r>
    </w:p>
    <w:tbl>
      <w:tblPr>
        <w:tblStyle w:val="TableGrid"/>
        <w:tblW w:type="dxa" w:w="9240"/>
        <w:jc w:val="left"/>
        <w:tblLayout w:type="fixed"/>
        <w:tblLook w:firstColumn="1" w:firstRow="1" w:lastColumn="0" w:lastRow="0" w:noHBand="0" w:noVBand="1" w:val="04A0"/>
        <w:tblInd w:w="120" w:type="dxa"/>
      </w:tblPr>
      <w:tblGrid>
        <w:gridCol w:w="2100"/>
        <w:gridCol w:w="7140"/>
      </w:tblGrid>
      <w:tr>
        <w:tc>
          <w:tcPr>
            <w:tcW w:type="dxa" w:w="2100"/>
            <w:tcMar>
              <w:top w:w="80" w:type="dxa"/>
              <w:start w:w="120" w:type="dxa"/>
              <w:bottom w:w="80" w:type="dxa"/>
              <w:end w:w="120" w:type="dxa"/>
            </w:tcMar>
            <w:vAlign w:val="center"/>
            <w:shd w:fill="F2F4F7"/>
          </w:tcPr>
          <w:p>
            <w:r>
              <w:rPr>
                <w:rFonts w:ascii="Calibri" w:hAnsi="Calibri"/>
                <w:b/>
                <w:color w:val="0B2545"/>
                <w:sz w:val="21"/>
              </w:rPr>
              <w:t>Dimension</w:t>
            </w:r>
          </w:p>
        </w:tc>
        <w:tc>
          <w:tcPr>
            <w:tcW w:type="dxa" w:w="7140"/>
            <w:tcMar>
              <w:top w:w="80" w:type="dxa"/>
              <w:start w:w="120" w:type="dxa"/>
              <w:bottom w:w="80" w:type="dxa"/>
              <w:end w:w="120" w:type="dxa"/>
            </w:tcMar>
            <w:vAlign w:val="center"/>
            <w:shd w:fill="F2F4F7"/>
          </w:tcPr>
          <w:p>
            <w:r>
              <w:rPr>
                <w:rFonts w:ascii="Calibri" w:hAnsi="Calibri"/>
                <w:b/>
                <w:color w:val="0B2545"/>
                <w:sz w:val="21"/>
              </w:rPr>
              <w:t>Recommendation</w:t>
            </w:r>
          </w:p>
        </w:tc>
      </w:tr>
      <w:tr>
        <w:tc>
          <w:tcPr>
            <w:tcW w:type="dxa" w:w="2100"/>
            <w:tcMar>
              <w:top w:w="80" w:type="dxa"/>
              <w:start w:w="120" w:type="dxa"/>
              <w:bottom w:w="80" w:type="dxa"/>
              <w:end w:w="120" w:type="dxa"/>
            </w:tcMar>
            <w:vAlign w:val="center"/>
          </w:tcPr>
          <w:p>
            <w:r>
              <w:rPr>
                <w:rFonts w:ascii="Calibri" w:hAnsi="Calibri"/>
                <w:b/>
                <w:color w:val="1F4D78"/>
                <w:sz w:val="21"/>
              </w:rPr>
              <w:t>Strategic thesis</w:t>
            </w:r>
          </w:p>
        </w:tc>
        <w:tc>
          <w:tcPr>
            <w:tcW w:type="dxa" w:w="7140"/>
            <w:tcMar>
              <w:top w:w="80" w:type="dxa"/>
              <w:start w:w="120" w:type="dxa"/>
              <w:bottom w:w="80" w:type="dxa"/>
              <w:end w:w="120" w:type="dxa"/>
            </w:tcMar>
            <w:vAlign w:val="center"/>
          </w:tcPr>
          <w:p>
            <w:r>
              <w:rPr>
                <w:rFonts w:ascii="Calibri" w:hAnsi="Calibri"/>
                <w:color w:val="0B2545"/>
                <w:sz w:val="21"/>
              </w:rPr>
              <w:t>WIN already owns the physical network. The next value layer is verified, customer-facing material intelligence.</w:t>
            </w:r>
          </w:p>
        </w:tc>
      </w:tr>
      <w:tr>
        <w:tc>
          <w:tcPr>
            <w:tcW w:type="dxa" w:w="2100"/>
            <w:tcMar>
              <w:top w:w="80" w:type="dxa"/>
              <w:start w:w="120" w:type="dxa"/>
              <w:bottom w:w="80" w:type="dxa"/>
              <w:end w:w="120" w:type="dxa"/>
            </w:tcMar>
            <w:vAlign w:val="center"/>
          </w:tcPr>
          <w:p>
            <w:r>
              <w:rPr>
                <w:rFonts w:ascii="Calibri" w:hAnsi="Calibri"/>
                <w:b/>
                <w:color w:val="1F4D78"/>
                <w:sz w:val="21"/>
              </w:rPr>
              <w:t>Ideal first users</w:t>
            </w:r>
          </w:p>
        </w:tc>
        <w:tc>
          <w:tcPr>
            <w:tcW w:type="dxa" w:w="7140"/>
            <w:tcMar>
              <w:top w:w="80" w:type="dxa"/>
              <w:start w:w="120" w:type="dxa"/>
              <w:bottom w:w="80" w:type="dxa"/>
              <w:end w:w="120" w:type="dxa"/>
            </w:tcMar>
            <w:vAlign w:val="center"/>
          </w:tcPr>
          <w:p>
            <w:r>
              <w:rPr>
                <w:rFonts w:ascii="Calibri" w:hAnsi="Calibri"/>
                <w:color w:val="0B2545"/>
                <w:sz w:val="21"/>
              </w:rPr>
              <w:t>Commercial portfolios, municipalities, universities, hospitals, manufacturers, food processors, and high-volume compactor accounts.</w:t>
            </w:r>
          </w:p>
        </w:tc>
      </w:tr>
      <w:tr>
        <w:tc>
          <w:tcPr>
            <w:tcW w:type="dxa" w:w="2100"/>
            <w:tcMar>
              <w:top w:w="80" w:type="dxa"/>
              <w:start w:w="120" w:type="dxa"/>
              <w:bottom w:w="80" w:type="dxa"/>
              <w:end w:w="120" w:type="dxa"/>
            </w:tcMar>
            <w:vAlign w:val="center"/>
          </w:tcPr>
          <w:p>
            <w:r>
              <w:rPr>
                <w:rFonts w:ascii="Calibri" w:hAnsi="Calibri"/>
                <w:b/>
                <w:color w:val="1F4D78"/>
                <w:sz w:val="21"/>
              </w:rPr>
              <w:t>Business model</w:t>
            </w:r>
          </w:p>
        </w:tc>
        <w:tc>
          <w:tcPr>
            <w:tcW w:type="dxa" w:w="7140"/>
            <w:tcMar>
              <w:top w:w="80" w:type="dxa"/>
              <w:start w:w="120" w:type="dxa"/>
              <w:bottom w:w="80" w:type="dxa"/>
              <w:end w:w="120" w:type="dxa"/>
            </w:tcMar>
            <w:vAlign w:val="center"/>
          </w:tcPr>
          <w:p>
            <w:r>
              <w:rPr>
                <w:rFonts w:ascii="Calibri" w:hAnsi="Calibri"/>
                <w:color w:val="0B2545"/>
                <w:sz w:val="21"/>
              </w:rPr>
              <w:t>Bundled enterprise portal for strategic accounts plus premium analytics/reporting tiers for commercial and municipal customers.</w:t>
            </w:r>
          </w:p>
        </w:tc>
      </w:tr>
      <w:tr>
        <w:tc>
          <w:tcPr>
            <w:tcW w:type="dxa" w:w="2100"/>
            <w:tcMar>
              <w:top w:w="80" w:type="dxa"/>
              <w:start w:w="120" w:type="dxa"/>
              <w:bottom w:w="80" w:type="dxa"/>
              <w:end w:w="120" w:type="dxa"/>
            </w:tcMar>
            <w:vAlign w:val="center"/>
          </w:tcPr>
          <w:p>
            <w:r>
              <w:rPr>
                <w:rFonts w:ascii="Calibri" w:hAnsi="Calibri"/>
                <w:b/>
                <w:color w:val="1F4D78"/>
                <w:sz w:val="21"/>
              </w:rPr>
              <w:t>Primary impact</w:t>
            </w:r>
          </w:p>
        </w:tc>
        <w:tc>
          <w:tcPr>
            <w:tcW w:type="dxa" w:w="7140"/>
            <w:tcMar>
              <w:top w:w="80" w:type="dxa"/>
              <w:start w:w="120" w:type="dxa"/>
              <w:bottom w:w="80" w:type="dxa"/>
              <w:end w:w="120" w:type="dxa"/>
            </w:tcMar>
            <w:vAlign w:val="center"/>
          </w:tcPr>
          <w:p>
            <w:r>
              <w:rPr>
                <w:rFonts w:ascii="Calibri" w:hAnsi="Calibri"/>
                <w:color w:val="0B2545"/>
                <w:sz w:val="21"/>
              </w:rPr>
              <w:t>Higher retention, premium revenue, fewer unnecessary hauls, better diversion, stronger sales conversion, and defensible sustainability reporting.</w:t>
            </w:r>
          </w:p>
        </w:tc>
      </w:tr>
    </w:tbl>
    <w:p>
      <w:pPr>
        <w:spacing w:after="80"/>
      </w:pPr>
    </w:p>
    <w:p>
      <w:pPr>
        <w:pStyle w:val="Heading1"/>
      </w:pPr>
      <w:r>
        <w:t>2. What the Public Site Reveals</w:t>
      </w:r>
    </w:p>
    <w:p>
      <w:r>
        <w:t>The website presents several clear product and operations signals. These signals point toward a platform that integrates customer experience, operations optimization, and sustainability proof.</w:t>
      </w:r>
    </w:p>
    <w:p>
      <w:pPr>
        <w:pStyle w:val="ListBullet"/>
        <w:spacing w:after="80"/>
      </w:pPr>
      <w:r>
        <w:t>WIN promotes residential, business, compactor, roll-off, recycling, special waste, and industry-specific services.</w:t>
      </w:r>
    </w:p>
    <w:p>
      <w:pPr>
        <w:pStyle w:val="ListBullet"/>
        <w:spacing w:after="80"/>
      </w:pPr>
      <w:r>
        <w:t>The Green by Design and curb-to-grid messaging says WIN optimizes pickup routes, diverts waste from landfills, recovers metals, converts remaining waste into renewable power, and provides customers with a detailed summary of sustainability contributions.</w:t>
      </w:r>
    </w:p>
    <w:p>
      <w:pPr>
        <w:pStyle w:val="ListBullet"/>
        <w:spacing w:after="80"/>
      </w:pPr>
      <w:r>
        <w:t>The company highlights waste-by-rail as cost- and fuel-efficient, with a large private railcar fleet and millions of tons moved annually.</w:t>
      </w:r>
    </w:p>
    <w:p>
      <w:pPr>
        <w:pStyle w:val="ListBullet"/>
        <w:spacing w:after="80"/>
      </w:pPr>
      <w:r>
        <w:t>The sustainability report publishes strong aggregate metrics, including tons converted to renewable energy, tons moved by low-carbon rail, tons recycled, metals recovered, and customers served.</w:t>
      </w:r>
    </w:p>
    <w:p>
      <w:pPr>
        <w:pStyle w:val="ListBullet"/>
        <w:spacing w:after="80"/>
      </w:pPr>
      <w:r>
        <w:t>The compactor business page emphasizes fewer hauls, lower costs, safety, onsite evaluation, and waste audits.</w:t>
      </w:r>
    </w:p>
    <w:p>
      <w:pPr>
        <w:pStyle w:val="ListBullet"/>
        <w:spacing w:after="80"/>
      </w:pPr>
      <w:r>
        <w:t>The special-waste page emphasizes compliant handling, end-to-end logistics, destruction certificates, flexible scheduling, and special handling of complex non-hazardous waste streams.</w:t>
      </w:r>
    </w:p>
    <w:p>
      <w:pPr>
        <w:pStyle w:val="Heading1"/>
      </w:pPr>
      <w:r>
        <w:t>3. Strategic Gap</w:t>
      </w:r>
    </w:p>
    <w:p>
      <w:r>
        <w:t>The public story is compelling, but the visible digital experience appears to stop short of making that story operationally interactive for customers. The site has contact channels, account access, quote flows, and a sustainability calculator, but the high-value opportunity is a persistent customer-specific operating record: what happened to my material, how did it create value, what can I improve next, and what evidence can I export?</w:t>
      </w:r>
    </w:p>
    <w:tbl>
      <w:tblPr>
        <w:tblStyle w:val="TableGrid"/>
        <w:tblW w:type="dxa" w:w="9120"/>
        <w:jc w:val="left"/>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cMar>
            <w:vAlign w:val="center"/>
            <w:shd w:fill="F4F6F9"/>
          </w:tcPr>
          <w:p>
            <w:pPr>
              <w:spacing w:after="60"/>
            </w:pPr>
            <w:r>
              <w:rPr>
                <w:rFonts w:ascii="Calibri" w:hAnsi="Calibri"/>
                <w:b/>
                <w:color w:val="0B2545"/>
                <w:sz w:val="22"/>
              </w:rPr>
              <w:t>Core gap</w:t>
            </w:r>
          </w:p>
          <w:p>
            <w:pPr>
              <w:spacing w:after="0"/>
            </w:pPr>
            <w:r>
              <w:t>WIN's differentiator is integrated infrastructure. The product opportunity is to expose that infrastructure as verified, account-level intelligence that customers and internal teams can act on every month.</w:t>
            </w:r>
          </w:p>
        </w:tc>
      </w:tr>
    </w:tbl>
    <w:p>
      <w:pPr>
        <w:spacing w:after="80"/>
      </w:pPr>
    </w:p>
    <w:p>
      <w:pPr>
        <w:pStyle w:val="Heading1"/>
      </w:pPr>
      <w:r>
        <w:t>4. Proposed Application</w:t>
      </w:r>
    </w:p>
    <w:p>
      <w:pPr>
        <w:pStyle w:val="Heading2"/>
      </w:pPr>
      <w:r>
        <w:t>Product Name: WIN Material Intelligence Cloud</w:t>
      </w:r>
    </w:p>
    <w:p>
      <w:r>
        <w:t>WIN Material Intelligence Cloud would be both a customer portal and an internal decision-support platform. Customers would receive a live sustainability and service ledger. WIN teams would receive operational recommendations for routing, destination selection, compactor sizing, contamination intervention, rail utilization, special-waste workflow management, and customer advisory opportunities.</w:t>
      </w:r>
    </w:p>
    <w:p>
      <w:pPr>
        <w:pStyle w:val="Heading2"/>
      </w:pPr>
      <w:r>
        <w:t>Primary User Jobs</w:t>
      </w:r>
    </w:p>
    <w:p>
      <w:pPr>
        <w:pStyle w:val="ListBullet"/>
        <w:spacing w:after="80"/>
      </w:pPr>
      <w:r>
        <w:t>Customer sustainability lead: export verified waste, diversion, recycling, WTE, and renewable-energy contribution data for ESG, procurement, board, LEED, municipal, or tenant reporting.</w:t>
      </w:r>
    </w:p>
    <w:p>
      <w:pPr>
        <w:pStyle w:val="ListBullet"/>
        <w:spacing w:after="80"/>
      </w:pPr>
      <w:r>
        <w:t>Facilities or operations manager: reduce overflows, missed pickups, unnecessary hauls, contamination events, and service uncertainty.</w:t>
      </w:r>
    </w:p>
    <w:p>
      <w:pPr>
        <w:pStyle w:val="ListBullet"/>
        <w:spacing w:after="80"/>
      </w:pPr>
      <w:r>
        <w:t>WIN sales team: demonstrate quantifiable savings and sustainability value during proposals and renewals.</w:t>
      </w:r>
    </w:p>
    <w:p>
      <w:pPr>
        <w:pStyle w:val="ListBullet"/>
        <w:spacing w:after="80"/>
      </w:pPr>
      <w:r>
        <w:t>WIN dispatcher or logistics planner: choose better pickup timing and destination paths based on fill level, route economics, rail availability, facility capacity, and customer commitments.</w:t>
      </w:r>
    </w:p>
    <w:p>
      <w:pPr>
        <w:pStyle w:val="ListBullet"/>
        <w:spacing w:after="80"/>
      </w:pPr>
      <w:r>
        <w:t>WIN account manager: identify upsell opportunities such as compactors, Green Glove/WTE paths, cardboard diversion, special-waste handling, and reporting packages.</w:t>
      </w:r>
    </w:p>
    <w:p>
      <w:pPr>
        <w:pStyle w:val="Heading1"/>
      </w:pPr>
      <w:r>
        <w:t>5. Core Modules</w:t>
      </w:r>
    </w:p>
    <w:tbl>
      <w:tblPr>
        <w:tblStyle w:val="TableGrid"/>
        <w:tblW w:type="dxa" w:w="9360"/>
        <w:jc w:val="left"/>
        <w:tblLayout w:type="fixed"/>
        <w:tblLook w:firstColumn="1" w:firstRow="1" w:lastColumn="0" w:lastRow="0" w:noHBand="0" w:noVBand="1" w:val="04A0"/>
        <w:tblInd w:w="120" w:type="dxa"/>
      </w:tblPr>
      <w:tblGrid>
        <w:gridCol w:w="2200"/>
        <w:gridCol w:w="3720"/>
        <w:gridCol w:w="1500"/>
        <w:gridCol w:w="1940"/>
      </w:tblGrid>
      <w:tr>
        <w:tc>
          <w:tcPr>
            <w:tcW w:type="dxa" w:w="2200"/>
            <w:tcMar>
              <w:top w:w="90" w:type="dxa"/>
              <w:start w:w="120" w:type="dxa"/>
              <w:bottom w:w="90" w:type="dxa"/>
              <w:end w:w="120" w:type="dxa"/>
            </w:tcMar>
            <w:vAlign w:val="center"/>
            <w:shd w:fill="F2F4F7"/>
          </w:tcPr>
          <w:p>
            <w:pPr>
              <w:jc w:val="left"/>
            </w:pPr>
            <w:r>
              <w:rPr>
                <w:rFonts w:ascii="Calibri" w:hAnsi="Calibri"/>
                <w:b/>
                <w:color w:val="0B2545"/>
                <w:sz w:val="20"/>
              </w:rPr>
              <w:t>Module</w:t>
            </w:r>
          </w:p>
        </w:tc>
        <w:tc>
          <w:tcPr>
            <w:tcW w:type="dxa" w:w="3720"/>
            <w:tcMar>
              <w:top w:w="90" w:type="dxa"/>
              <w:start w:w="120" w:type="dxa"/>
              <w:bottom w:w="90" w:type="dxa"/>
              <w:end w:w="120" w:type="dxa"/>
            </w:tcMar>
            <w:vAlign w:val="center"/>
            <w:shd w:fill="F2F4F7"/>
          </w:tcPr>
          <w:p>
            <w:pPr>
              <w:jc w:val="center"/>
            </w:pPr>
            <w:r>
              <w:rPr>
                <w:rFonts w:ascii="Calibri" w:hAnsi="Calibri"/>
                <w:b/>
                <w:color w:val="0B2545"/>
                <w:sz w:val="20"/>
              </w:rPr>
              <w:t>What it does</w:t>
            </w:r>
          </w:p>
        </w:tc>
        <w:tc>
          <w:tcPr>
            <w:tcW w:type="dxa" w:w="1500"/>
            <w:tcMar>
              <w:top w:w="90" w:type="dxa"/>
              <w:start w:w="120" w:type="dxa"/>
              <w:bottom w:w="90" w:type="dxa"/>
              <w:end w:w="120" w:type="dxa"/>
            </w:tcMar>
            <w:vAlign w:val="center"/>
            <w:shd w:fill="F2F4F7"/>
          </w:tcPr>
          <w:p>
            <w:pPr>
              <w:jc w:val="center"/>
            </w:pPr>
            <w:r>
              <w:rPr>
                <w:rFonts w:ascii="Calibri" w:hAnsi="Calibri"/>
                <w:b/>
                <w:color w:val="0B2545"/>
                <w:sz w:val="20"/>
              </w:rPr>
              <w:t>Primary users</w:t>
            </w:r>
          </w:p>
        </w:tc>
        <w:tc>
          <w:tcPr>
            <w:tcW w:type="dxa" w:w="1940"/>
            <w:tcMar>
              <w:top w:w="90" w:type="dxa"/>
              <w:start w:w="120" w:type="dxa"/>
              <w:bottom w:w="90" w:type="dxa"/>
              <w:end w:w="120" w:type="dxa"/>
            </w:tcMar>
            <w:vAlign w:val="center"/>
            <w:shd w:fill="F2F4F7"/>
          </w:tcPr>
          <w:p>
            <w:pPr>
              <w:jc w:val="center"/>
            </w:pPr>
            <w:r>
              <w:rPr>
                <w:rFonts w:ascii="Calibri" w:hAnsi="Calibri"/>
                <w:b/>
                <w:color w:val="0B2545"/>
                <w:sz w:val="20"/>
              </w:rPr>
              <w:t>Value created</w:t>
            </w:r>
          </w:p>
        </w:tc>
      </w:tr>
      <w:tr>
        <w:tc>
          <w:tcPr>
            <w:tcW w:type="dxa" w:w="2200"/>
            <w:tcMar>
              <w:top w:w="90" w:type="dxa"/>
              <w:start w:w="120" w:type="dxa"/>
              <w:bottom w:w="90" w:type="dxa"/>
              <w:end w:w="120" w:type="dxa"/>
            </w:tcMar>
            <w:vAlign w:val="center"/>
          </w:tcPr>
          <w:p>
            <w:pPr>
              <w:spacing w:after="0"/>
              <w:jc w:val="left"/>
            </w:pPr>
            <w:r>
              <w:rPr>
                <w:rFonts w:ascii="Calibri" w:hAnsi="Calibri"/>
                <w:color w:val="0B2545"/>
                <w:sz w:val="19"/>
              </w:rPr>
              <w:t>Customer Sustainability Ledger</w:t>
            </w:r>
          </w:p>
        </w:tc>
        <w:tc>
          <w:tcPr>
            <w:tcW w:type="dxa" w:w="3720"/>
            <w:tcMar>
              <w:top w:w="90" w:type="dxa"/>
              <w:start w:w="120" w:type="dxa"/>
              <w:bottom w:w="90" w:type="dxa"/>
              <w:end w:w="120" w:type="dxa"/>
            </w:tcMar>
            <w:vAlign w:val="center"/>
          </w:tcPr>
          <w:p>
            <w:pPr>
              <w:spacing w:after="0"/>
              <w:jc w:val="left"/>
            </w:pPr>
            <w:r>
              <w:rPr>
                <w:rFonts w:ascii="Calibri" w:hAnsi="Calibri"/>
                <w:color w:val="0B2545"/>
                <w:sz w:val="19"/>
              </w:rPr>
              <w:t>Shows collected tons, recycled materials, WTE conversion, metals recovered, rail movement, landfill diversion, and monthly/annual exports.</w:t>
            </w:r>
          </w:p>
        </w:tc>
        <w:tc>
          <w:tcPr>
            <w:tcW w:type="dxa" w:w="1500"/>
            <w:tcMar>
              <w:top w:w="90" w:type="dxa"/>
              <w:start w:w="120" w:type="dxa"/>
              <w:bottom w:w="90" w:type="dxa"/>
              <w:end w:w="120" w:type="dxa"/>
            </w:tcMar>
            <w:vAlign w:val="center"/>
          </w:tcPr>
          <w:p>
            <w:pPr>
              <w:spacing w:after="0"/>
              <w:jc w:val="center"/>
            </w:pPr>
            <w:r>
              <w:rPr>
                <w:rFonts w:ascii="Calibri" w:hAnsi="Calibri"/>
                <w:color w:val="0B2545"/>
                <w:sz w:val="19"/>
              </w:rPr>
              <w:t>Customers, account managers</w:t>
            </w:r>
          </w:p>
        </w:tc>
        <w:tc>
          <w:tcPr>
            <w:tcW w:type="dxa" w:w="1940"/>
            <w:tcMar>
              <w:top w:w="90" w:type="dxa"/>
              <w:start w:w="120" w:type="dxa"/>
              <w:bottom w:w="90" w:type="dxa"/>
              <w:end w:w="120" w:type="dxa"/>
            </w:tcMar>
            <w:vAlign w:val="center"/>
          </w:tcPr>
          <w:p>
            <w:pPr>
              <w:spacing w:after="0"/>
              <w:jc w:val="center"/>
            </w:pPr>
            <w:r>
              <w:rPr>
                <w:rFonts w:ascii="Calibri" w:hAnsi="Calibri"/>
                <w:color w:val="0B2545"/>
                <w:sz w:val="19"/>
              </w:rPr>
              <w:t>Retention, ESG proof, premium reporting revenue</w:t>
            </w:r>
          </w:p>
        </w:tc>
      </w:tr>
      <w:tr>
        <w:tc>
          <w:tcPr>
            <w:tcW w:type="dxa" w:w="2200"/>
            <w:tcMar>
              <w:top w:w="90" w:type="dxa"/>
              <w:start w:w="120" w:type="dxa"/>
              <w:bottom w:w="90" w:type="dxa"/>
              <w:end w:w="120" w:type="dxa"/>
            </w:tcMar>
            <w:vAlign w:val="center"/>
          </w:tcPr>
          <w:p>
            <w:pPr>
              <w:spacing w:after="0"/>
              <w:jc w:val="left"/>
            </w:pPr>
            <w:r>
              <w:rPr>
                <w:rFonts w:ascii="Calibri" w:hAnsi="Calibri"/>
                <w:color w:val="0B2545"/>
                <w:sz w:val="19"/>
              </w:rPr>
              <w:t>Smart Container and Compactor Optimization</w:t>
            </w:r>
          </w:p>
        </w:tc>
        <w:tc>
          <w:tcPr>
            <w:tcW w:type="dxa" w:w="3720"/>
            <w:tcMar>
              <w:top w:w="90" w:type="dxa"/>
              <w:start w:w="120" w:type="dxa"/>
              <w:bottom w:w="90" w:type="dxa"/>
              <w:end w:w="120" w:type="dxa"/>
            </w:tcMar>
            <w:vAlign w:val="center"/>
          </w:tcPr>
          <w:p>
            <w:pPr>
              <w:spacing w:after="0"/>
              <w:jc w:val="left"/>
            </w:pPr>
            <w:r>
              <w:rPr>
                <w:rFonts w:ascii="Calibri" w:hAnsi="Calibri"/>
                <w:color w:val="0B2545"/>
                <w:sz w:val="19"/>
              </w:rPr>
              <w:t>Uses pickup history, scale tickets, fill telemetry, seasonality, and service issues to recommend container mix and pickup cadence.</w:t>
            </w:r>
          </w:p>
        </w:tc>
        <w:tc>
          <w:tcPr>
            <w:tcW w:type="dxa" w:w="1500"/>
            <w:tcMar>
              <w:top w:w="90" w:type="dxa"/>
              <w:start w:w="120" w:type="dxa"/>
              <w:bottom w:w="90" w:type="dxa"/>
              <w:end w:w="120" w:type="dxa"/>
            </w:tcMar>
            <w:vAlign w:val="center"/>
          </w:tcPr>
          <w:p>
            <w:pPr>
              <w:spacing w:after="0"/>
              <w:jc w:val="center"/>
            </w:pPr>
            <w:r>
              <w:rPr>
                <w:rFonts w:ascii="Calibri" w:hAnsi="Calibri"/>
                <w:color w:val="0B2545"/>
                <w:sz w:val="19"/>
              </w:rPr>
              <w:t>Facilities teams, dispatch, sales</w:t>
            </w:r>
          </w:p>
        </w:tc>
        <w:tc>
          <w:tcPr>
            <w:tcW w:type="dxa" w:w="1940"/>
            <w:tcMar>
              <w:top w:w="90" w:type="dxa"/>
              <w:start w:w="120" w:type="dxa"/>
              <w:bottom w:w="90" w:type="dxa"/>
              <w:end w:w="120" w:type="dxa"/>
            </w:tcMar>
            <w:vAlign w:val="center"/>
          </w:tcPr>
          <w:p>
            <w:pPr>
              <w:spacing w:after="0"/>
              <w:jc w:val="center"/>
            </w:pPr>
            <w:r>
              <w:rPr>
                <w:rFonts w:ascii="Calibri" w:hAnsi="Calibri"/>
                <w:color w:val="0B2545"/>
                <w:sz w:val="19"/>
              </w:rPr>
              <w:t>Fewer unnecessary hauls, lower cost, higher compactor conversion</w:t>
            </w:r>
          </w:p>
        </w:tc>
      </w:tr>
      <w:tr>
        <w:tc>
          <w:tcPr>
            <w:tcW w:type="dxa" w:w="2200"/>
            <w:tcMar>
              <w:top w:w="90" w:type="dxa"/>
              <w:start w:w="120" w:type="dxa"/>
              <w:bottom w:w="90" w:type="dxa"/>
              <w:end w:w="120" w:type="dxa"/>
            </w:tcMar>
            <w:vAlign w:val="center"/>
          </w:tcPr>
          <w:p>
            <w:pPr>
              <w:spacing w:after="0"/>
              <w:jc w:val="left"/>
            </w:pPr>
            <w:r>
              <w:rPr>
                <w:rFonts w:ascii="Calibri" w:hAnsi="Calibri"/>
                <w:color w:val="0B2545"/>
                <w:sz w:val="19"/>
              </w:rPr>
              <w:t>Waste Stream Diagnostics</w:t>
            </w:r>
          </w:p>
        </w:tc>
        <w:tc>
          <w:tcPr>
            <w:tcW w:type="dxa" w:w="3720"/>
            <w:tcMar>
              <w:top w:w="90" w:type="dxa"/>
              <w:start w:w="120" w:type="dxa"/>
              <w:bottom w:w="90" w:type="dxa"/>
              <w:end w:w="120" w:type="dxa"/>
            </w:tcMar>
            <w:vAlign w:val="center"/>
          </w:tcPr>
          <w:p>
            <w:pPr>
              <w:spacing w:after="0"/>
              <w:jc w:val="left"/>
            </w:pPr>
            <w:r>
              <w:rPr>
                <w:rFonts w:ascii="Calibri" w:hAnsi="Calibri"/>
                <w:color w:val="0B2545"/>
                <w:sz w:val="19"/>
              </w:rPr>
              <w:t>Uses photos, intake observations, and facility data to identify contamination, recoverable commodities, prohibited materials, and special-waste opportunities.</w:t>
            </w:r>
          </w:p>
        </w:tc>
        <w:tc>
          <w:tcPr>
            <w:tcW w:type="dxa" w:w="1500"/>
            <w:tcMar>
              <w:top w:w="90" w:type="dxa"/>
              <w:start w:w="120" w:type="dxa"/>
              <w:bottom w:w="90" w:type="dxa"/>
              <w:end w:w="120" w:type="dxa"/>
            </w:tcMar>
            <w:vAlign w:val="center"/>
          </w:tcPr>
          <w:p>
            <w:pPr>
              <w:spacing w:after="0"/>
              <w:jc w:val="center"/>
            </w:pPr>
            <w:r>
              <w:rPr>
                <w:rFonts w:ascii="Calibri" w:hAnsi="Calibri"/>
                <w:color w:val="0B2545"/>
                <w:sz w:val="19"/>
              </w:rPr>
              <w:t>Customers, MRF/transfer station teams</w:t>
            </w:r>
          </w:p>
        </w:tc>
        <w:tc>
          <w:tcPr>
            <w:tcW w:type="dxa" w:w="1940"/>
            <w:tcMar>
              <w:top w:w="90" w:type="dxa"/>
              <w:start w:w="120" w:type="dxa"/>
              <w:bottom w:w="90" w:type="dxa"/>
              <w:end w:w="120" w:type="dxa"/>
            </w:tcMar>
            <w:vAlign w:val="center"/>
          </w:tcPr>
          <w:p>
            <w:pPr>
              <w:spacing w:after="0"/>
              <w:jc w:val="center"/>
            </w:pPr>
            <w:r>
              <w:rPr>
                <w:rFonts w:ascii="Calibri" w:hAnsi="Calibri"/>
                <w:color w:val="0B2545"/>
                <w:sz w:val="19"/>
              </w:rPr>
              <w:t>Higher diversion, lower contamination cost, safer handling</w:t>
            </w:r>
          </w:p>
        </w:tc>
      </w:tr>
      <w:tr>
        <w:tc>
          <w:tcPr>
            <w:tcW w:type="dxa" w:w="2200"/>
            <w:tcMar>
              <w:top w:w="90" w:type="dxa"/>
              <w:start w:w="120" w:type="dxa"/>
              <w:bottom w:w="90" w:type="dxa"/>
              <w:end w:w="120" w:type="dxa"/>
            </w:tcMar>
            <w:vAlign w:val="center"/>
          </w:tcPr>
          <w:p>
            <w:pPr>
              <w:spacing w:after="0"/>
              <w:jc w:val="left"/>
            </w:pPr>
            <w:r>
              <w:rPr>
                <w:rFonts w:ascii="Calibri" w:hAnsi="Calibri"/>
                <w:color w:val="0B2545"/>
                <w:sz w:val="19"/>
              </w:rPr>
              <w:t>Curb-to-Grid Destination Optimizer</w:t>
            </w:r>
          </w:p>
        </w:tc>
        <w:tc>
          <w:tcPr>
            <w:tcW w:type="dxa" w:w="3720"/>
            <w:tcMar>
              <w:top w:w="90" w:type="dxa"/>
              <w:start w:w="120" w:type="dxa"/>
              <w:bottom w:w="90" w:type="dxa"/>
              <w:end w:w="120" w:type="dxa"/>
            </w:tcMar>
            <w:vAlign w:val="center"/>
          </w:tcPr>
          <w:p>
            <w:pPr>
              <w:spacing w:after="0"/>
              <w:jc w:val="left"/>
            </w:pPr>
            <w:r>
              <w:rPr>
                <w:rFonts w:ascii="Calibri" w:hAnsi="Calibri"/>
                <w:color w:val="0B2545"/>
                <w:sz w:val="19"/>
              </w:rPr>
              <w:t>Recommends destination paths across recycling, transfer, rail, WTE, landfill, or special handling based on cost, capacity, compliance, and sustainability impact.</w:t>
            </w:r>
          </w:p>
        </w:tc>
        <w:tc>
          <w:tcPr>
            <w:tcW w:type="dxa" w:w="1500"/>
            <w:tcMar>
              <w:top w:w="90" w:type="dxa"/>
              <w:start w:w="120" w:type="dxa"/>
              <w:bottom w:w="90" w:type="dxa"/>
              <w:end w:w="120" w:type="dxa"/>
            </w:tcMar>
            <w:vAlign w:val="center"/>
          </w:tcPr>
          <w:p>
            <w:pPr>
              <w:spacing w:after="0"/>
              <w:jc w:val="center"/>
            </w:pPr>
            <w:r>
              <w:rPr>
                <w:rFonts w:ascii="Calibri" w:hAnsi="Calibri"/>
                <w:color w:val="0B2545"/>
                <w:sz w:val="19"/>
              </w:rPr>
              <w:t>Dispatch, operations, logistics</w:t>
            </w:r>
          </w:p>
        </w:tc>
        <w:tc>
          <w:tcPr>
            <w:tcW w:type="dxa" w:w="1940"/>
            <w:tcMar>
              <w:top w:w="90" w:type="dxa"/>
              <w:start w:w="120" w:type="dxa"/>
              <w:bottom w:w="90" w:type="dxa"/>
              <w:end w:w="120" w:type="dxa"/>
            </w:tcMar>
            <w:vAlign w:val="center"/>
          </w:tcPr>
          <w:p>
            <w:pPr>
              <w:spacing w:after="0"/>
              <w:jc w:val="center"/>
            </w:pPr>
            <w:r>
              <w:rPr>
                <w:rFonts w:ascii="Calibri" w:hAnsi="Calibri"/>
                <w:color w:val="0B2545"/>
                <w:sz w:val="19"/>
              </w:rPr>
              <w:t>Better margin, capacity use, rail utilization, and customer promise fulfillment</w:t>
            </w:r>
          </w:p>
        </w:tc>
      </w:tr>
      <w:tr>
        <w:tc>
          <w:tcPr>
            <w:tcW w:type="dxa" w:w="2200"/>
            <w:tcMar>
              <w:top w:w="90" w:type="dxa"/>
              <w:start w:w="120" w:type="dxa"/>
              <w:bottom w:w="90" w:type="dxa"/>
              <w:end w:w="120" w:type="dxa"/>
            </w:tcMar>
            <w:vAlign w:val="center"/>
          </w:tcPr>
          <w:p>
            <w:pPr>
              <w:spacing w:after="0"/>
              <w:jc w:val="left"/>
            </w:pPr>
            <w:r>
              <w:rPr>
                <w:rFonts w:ascii="Calibri" w:hAnsi="Calibri"/>
                <w:color w:val="0B2545"/>
                <w:sz w:val="19"/>
              </w:rPr>
              <w:t>Premium Advisory Layer</w:t>
            </w:r>
          </w:p>
        </w:tc>
        <w:tc>
          <w:tcPr>
            <w:tcW w:type="dxa" w:w="3720"/>
            <w:tcMar>
              <w:top w:w="90" w:type="dxa"/>
              <w:start w:w="120" w:type="dxa"/>
              <w:bottom w:w="90" w:type="dxa"/>
              <w:end w:w="120" w:type="dxa"/>
            </w:tcMar>
            <w:vAlign w:val="center"/>
          </w:tcPr>
          <w:p>
            <w:pPr>
              <w:spacing w:after="0"/>
              <w:jc w:val="left"/>
            </w:pPr>
            <w:r>
              <w:rPr>
                <w:rFonts w:ascii="Calibri" w:hAnsi="Calibri"/>
                <w:color w:val="0B2545"/>
                <w:sz w:val="19"/>
              </w:rPr>
              <w:t>Turns waste audits into recurring recommendations, benchmarks, certificates, compliance artifacts, and what-if simulations.</w:t>
            </w:r>
          </w:p>
        </w:tc>
        <w:tc>
          <w:tcPr>
            <w:tcW w:type="dxa" w:w="1500"/>
            <w:tcMar>
              <w:top w:w="90" w:type="dxa"/>
              <w:start w:w="120" w:type="dxa"/>
              <w:bottom w:w="90" w:type="dxa"/>
              <w:end w:w="120" w:type="dxa"/>
            </w:tcMar>
            <w:vAlign w:val="center"/>
          </w:tcPr>
          <w:p>
            <w:pPr>
              <w:spacing w:after="0"/>
              <w:jc w:val="center"/>
            </w:pPr>
            <w:r>
              <w:rPr>
                <w:rFonts w:ascii="Calibri" w:hAnsi="Calibri"/>
                <w:color w:val="0B2545"/>
                <w:sz w:val="19"/>
              </w:rPr>
              <w:t>Strategic accounts, sales</w:t>
            </w:r>
          </w:p>
        </w:tc>
        <w:tc>
          <w:tcPr>
            <w:tcW w:type="dxa" w:w="1940"/>
            <w:tcMar>
              <w:top w:w="90" w:type="dxa"/>
              <w:start w:w="120" w:type="dxa"/>
              <w:bottom w:w="90" w:type="dxa"/>
              <w:end w:w="120" w:type="dxa"/>
            </w:tcMar>
            <w:vAlign w:val="center"/>
          </w:tcPr>
          <w:p>
            <w:pPr>
              <w:spacing w:after="0"/>
              <w:jc w:val="center"/>
            </w:pPr>
            <w:r>
              <w:rPr>
                <w:rFonts w:ascii="Calibri" w:hAnsi="Calibri"/>
                <w:color w:val="0B2545"/>
                <w:sz w:val="19"/>
              </w:rPr>
              <w:t>Paid advisory tier, stronger renewals, differentiated proposals</w:t>
            </w:r>
          </w:p>
        </w:tc>
      </w:tr>
    </w:tbl>
    <w:p>
      <w:pPr>
        <w:spacing w:after="80"/>
      </w:pPr>
    </w:p>
    <w:p>
      <w:pPr>
        <w:pStyle w:val="Heading1"/>
      </w:pPr>
      <w:r>
        <w:t>6. MVP Definition</w:t>
      </w:r>
    </w:p>
    <w:p>
      <w:r>
        <w:t>The MVP should avoid boiling the ocean. Start with one dense region and one high-value segment: commercial customers using compactors, roll-offs, or recurring business waste/recycling service. Massachusetts, Connecticut, or New York would be natural candidates because WIN has a concentration of hauling, transfer, WTE, and rail assets in the broader Northeast.</w:t>
      </w:r>
    </w:p>
    <w:p>
      <w:pPr>
        <w:pStyle w:val="Heading2"/>
      </w:pPr>
      <w:r>
        <w:t>MVP Capabilities</w:t>
      </w:r>
    </w:p>
    <w:p>
      <w:pPr>
        <w:pStyle w:val="ListNumber"/>
        <w:spacing w:after="80"/>
      </w:pPr>
      <w:r>
        <w:t>Account dashboard: customer sites, containers, service schedule, recent pickups, weights, issues, and invoice/service summary.</w:t>
      </w:r>
    </w:p>
    <w:p>
      <w:pPr>
        <w:pStyle w:val="ListNumber"/>
        <w:spacing w:after="80"/>
      </w:pPr>
      <w:r>
        <w:t>Sustainability summary: tons collected, estimated material pathway, recycling, WTE, rail movement, landfill diversion, and renewable power equivalents.</w:t>
      </w:r>
    </w:p>
    <w:p>
      <w:pPr>
        <w:pStyle w:val="ListNumber"/>
        <w:spacing w:after="80"/>
      </w:pPr>
      <w:r>
        <w:t>Export pack: monthly PDF and CSV outputs for ESG, facilities reporting, LEED support, procurement, and municipal summaries.</w:t>
      </w:r>
    </w:p>
    <w:p>
      <w:pPr>
        <w:pStyle w:val="ListNumber"/>
        <w:spacing w:after="80"/>
      </w:pPr>
      <w:r>
        <w:t>Container intelligence: recommended pickup frequency, container changes, compactor candidates, overflow alerts, and underutilized-service flags.</w:t>
      </w:r>
    </w:p>
    <w:p>
      <w:pPr>
        <w:pStyle w:val="ListNumber"/>
        <w:spacing w:after="80"/>
      </w:pPr>
      <w:r>
        <w:t>Photo-assisted diagnostics: customer or WIN employee uploads images of waste areas, contamination, overflow, special waste, or recoverable materials.</w:t>
      </w:r>
    </w:p>
    <w:p>
      <w:pPr>
        <w:pStyle w:val="ListNumber"/>
        <w:spacing w:after="80"/>
      </w:pPr>
      <w:r>
        <w:t>Internal operations view: map account material flows to transfer stations, rail-served facilities, WTE, recycling, landfill, and special-waste paths.</w:t>
      </w:r>
    </w:p>
    <w:p>
      <w:pPr>
        <w:pStyle w:val="ListNumber"/>
        <w:spacing w:after="80"/>
      </w:pPr>
      <w:r>
        <w:t>What-if simulator: model cost and sustainability changes from moving to compactor service, adding cardboard diversion, adjusting pickup cadence, or routing via rail/WTE.</w:t>
      </w:r>
    </w:p>
    <w:p>
      <w:pPr>
        <w:pStyle w:val="Heading1"/>
      </w:pPr>
      <w:r>
        <w:t>7. Data Foundation</w:t>
      </w:r>
    </w:p>
    <w:p>
      <w:r>
        <w:t>The application should start with existing data and add sensors selectively. WIN does not need every customer container instrumented on day one. The value begins by unifying data already created by operations.</w:t>
      </w:r>
    </w:p>
    <w:tbl>
      <w:tblPr>
        <w:tblStyle w:val="TableGrid"/>
        <w:tblW w:type="dxa" w:w="9360"/>
        <w:jc w:val="left"/>
        <w:tblLayout w:type="fixed"/>
        <w:tblLook w:firstColumn="1" w:firstRow="1" w:lastColumn="0" w:lastRow="0" w:noHBand="0" w:noVBand="1" w:val="04A0"/>
        <w:tblInd w:w="120" w:type="dxa"/>
      </w:tblPr>
      <w:tblGrid>
        <w:gridCol w:w="1900"/>
        <w:gridCol w:w="2820"/>
        <w:gridCol w:w="2920"/>
        <w:gridCol w:w="1720"/>
      </w:tblGrid>
      <w:tr>
        <w:tc>
          <w:tcPr>
            <w:tcW w:type="dxa" w:w="1900"/>
            <w:tcMar>
              <w:top w:w="90" w:type="dxa"/>
              <w:start w:w="120" w:type="dxa"/>
              <w:bottom w:w="90" w:type="dxa"/>
              <w:end w:w="120" w:type="dxa"/>
            </w:tcMar>
            <w:vAlign w:val="center"/>
            <w:shd w:fill="F2F4F7"/>
          </w:tcPr>
          <w:p>
            <w:pPr>
              <w:jc w:val="left"/>
            </w:pPr>
            <w:r>
              <w:rPr>
                <w:rFonts w:ascii="Calibri" w:hAnsi="Calibri"/>
                <w:b/>
                <w:color w:val="0B2545"/>
                <w:sz w:val="20"/>
              </w:rPr>
              <w:t>Data source</w:t>
            </w:r>
          </w:p>
        </w:tc>
        <w:tc>
          <w:tcPr>
            <w:tcW w:type="dxa" w:w="2820"/>
            <w:tcMar>
              <w:top w:w="90" w:type="dxa"/>
              <w:start w:w="120" w:type="dxa"/>
              <w:bottom w:w="90" w:type="dxa"/>
              <w:end w:w="120" w:type="dxa"/>
            </w:tcMar>
            <w:vAlign w:val="center"/>
            <w:shd w:fill="F2F4F7"/>
          </w:tcPr>
          <w:p>
            <w:pPr>
              <w:jc w:val="center"/>
            </w:pPr>
            <w:r>
              <w:rPr>
                <w:rFonts w:ascii="Calibri" w:hAnsi="Calibri"/>
                <w:b/>
                <w:color w:val="0B2545"/>
                <w:sz w:val="20"/>
              </w:rPr>
              <w:t>Examples</w:t>
            </w:r>
          </w:p>
        </w:tc>
        <w:tc>
          <w:tcPr>
            <w:tcW w:type="dxa" w:w="2920"/>
            <w:tcMar>
              <w:top w:w="90" w:type="dxa"/>
              <w:start w:w="120" w:type="dxa"/>
              <w:bottom w:w="90" w:type="dxa"/>
              <w:end w:w="120" w:type="dxa"/>
            </w:tcMar>
            <w:vAlign w:val="center"/>
            <w:shd w:fill="F2F4F7"/>
          </w:tcPr>
          <w:p>
            <w:pPr>
              <w:jc w:val="center"/>
            </w:pPr>
            <w:r>
              <w:rPr>
                <w:rFonts w:ascii="Calibri" w:hAnsi="Calibri"/>
                <w:b/>
                <w:color w:val="0B2545"/>
                <w:sz w:val="20"/>
              </w:rPr>
              <w:t>Initial use</w:t>
            </w:r>
          </w:p>
        </w:tc>
        <w:tc>
          <w:tcPr>
            <w:tcW w:type="dxa" w:w="1720"/>
            <w:tcMar>
              <w:top w:w="90" w:type="dxa"/>
              <w:start w:w="120" w:type="dxa"/>
              <w:bottom w:w="90" w:type="dxa"/>
              <w:end w:w="120" w:type="dxa"/>
            </w:tcMar>
            <w:vAlign w:val="center"/>
            <w:shd w:fill="F2F4F7"/>
          </w:tcPr>
          <w:p>
            <w:pPr>
              <w:jc w:val="center"/>
            </w:pPr>
            <w:r>
              <w:rPr>
                <w:rFonts w:ascii="Calibri" w:hAnsi="Calibri"/>
                <w:b/>
                <w:color w:val="0B2545"/>
                <w:sz w:val="20"/>
              </w:rPr>
              <w:t>Maturity</w:t>
            </w:r>
          </w:p>
        </w:tc>
      </w:tr>
      <w:tr>
        <w:tc>
          <w:tcPr>
            <w:tcW w:type="dxa" w:w="1900"/>
            <w:tcMar>
              <w:top w:w="90" w:type="dxa"/>
              <w:start w:w="120" w:type="dxa"/>
              <w:bottom w:w="90" w:type="dxa"/>
              <w:end w:w="120" w:type="dxa"/>
            </w:tcMar>
            <w:vAlign w:val="center"/>
          </w:tcPr>
          <w:p>
            <w:pPr>
              <w:spacing w:after="0"/>
              <w:jc w:val="left"/>
            </w:pPr>
            <w:r>
              <w:rPr>
                <w:rFonts w:ascii="Calibri" w:hAnsi="Calibri"/>
                <w:color w:val="0B2545"/>
                <w:sz w:val="19"/>
              </w:rPr>
              <w:t>Customer/account data</w:t>
            </w:r>
          </w:p>
        </w:tc>
        <w:tc>
          <w:tcPr>
            <w:tcW w:type="dxa" w:w="2820"/>
            <w:tcMar>
              <w:top w:w="90" w:type="dxa"/>
              <w:start w:w="120" w:type="dxa"/>
              <w:bottom w:w="90" w:type="dxa"/>
              <w:end w:w="120" w:type="dxa"/>
            </w:tcMar>
            <w:vAlign w:val="center"/>
          </w:tcPr>
          <w:p>
            <w:pPr>
              <w:spacing w:after="0"/>
              <w:jc w:val="left"/>
            </w:pPr>
            <w:r>
              <w:rPr>
                <w:rFonts w:ascii="Calibri" w:hAnsi="Calibri"/>
                <w:color w:val="0B2545"/>
                <w:sz w:val="19"/>
              </w:rPr>
              <w:t>Customer, site, service type, contract, container inventory</w:t>
            </w:r>
          </w:p>
        </w:tc>
        <w:tc>
          <w:tcPr>
            <w:tcW w:type="dxa" w:w="2920"/>
            <w:tcMar>
              <w:top w:w="90" w:type="dxa"/>
              <w:start w:w="120" w:type="dxa"/>
              <w:bottom w:w="90" w:type="dxa"/>
              <w:end w:w="120" w:type="dxa"/>
            </w:tcMar>
            <w:vAlign w:val="center"/>
          </w:tcPr>
          <w:p>
            <w:pPr>
              <w:spacing w:after="0"/>
              <w:jc w:val="center"/>
            </w:pPr>
            <w:r>
              <w:rPr>
                <w:rFonts w:ascii="Calibri" w:hAnsi="Calibri"/>
                <w:color w:val="0B2545"/>
                <w:sz w:val="19"/>
              </w:rPr>
              <w:t>Account views and segmentation</w:t>
            </w:r>
          </w:p>
        </w:tc>
        <w:tc>
          <w:tcPr>
            <w:tcW w:type="dxa" w:w="1720"/>
            <w:tcMar>
              <w:top w:w="90" w:type="dxa"/>
              <w:start w:w="120" w:type="dxa"/>
              <w:bottom w:w="90" w:type="dxa"/>
              <w:end w:w="120" w:type="dxa"/>
            </w:tcMar>
            <w:vAlign w:val="center"/>
          </w:tcPr>
          <w:p>
            <w:pPr>
              <w:spacing w:after="0"/>
              <w:jc w:val="center"/>
            </w:pPr>
            <w:r>
              <w:rPr>
                <w:rFonts w:ascii="Calibri" w:hAnsi="Calibri"/>
                <w:color w:val="0B2545"/>
                <w:sz w:val="19"/>
              </w:rPr>
              <w:t>MVP</w:t>
            </w:r>
          </w:p>
        </w:tc>
      </w:tr>
      <w:tr>
        <w:tc>
          <w:tcPr>
            <w:tcW w:type="dxa" w:w="1900"/>
            <w:tcMar>
              <w:top w:w="90" w:type="dxa"/>
              <w:start w:w="120" w:type="dxa"/>
              <w:bottom w:w="90" w:type="dxa"/>
              <w:end w:w="120" w:type="dxa"/>
            </w:tcMar>
            <w:vAlign w:val="center"/>
          </w:tcPr>
          <w:p>
            <w:pPr>
              <w:spacing w:after="0"/>
              <w:jc w:val="left"/>
            </w:pPr>
            <w:r>
              <w:rPr>
                <w:rFonts w:ascii="Calibri" w:hAnsi="Calibri"/>
                <w:color w:val="0B2545"/>
                <w:sz w:val="19"/>
              </w:rPr>
              <w:t>Route and service data</w:t>
            </w:r>
          </w:p>
        </w:tc>
        <w:tc>
          <w:tcPr>
            <w:tcW w:type="dxa" w:w="2820"/>
            <w:tcMar>
              <w:top w:w="90" w:type="dxa"/>
              <w:start w:w="120" w:type="dxa"/>
              <w:bottom w:w="90" w:type="dxa"/>
              <w:end w:w="120" w:type="dxa"/>
            </w:tcMar>
            <w:vAlign w:val="center"/>
          </w:tcPr>
          <w:p>
            <w:pPr>
              <w:spacing w:after="0"/>
              <w:jc w:val="left"/>
            </w:pPr>
            <w:r>
              <w:rPr>
                <w:rFonts w:ascii="Calibri" w:hAnsi="Calibri"/>
                <w:color w:val="0B2545"/>
                <w:sz w:val="19"/>
              </w:rPr>
              <w:t>Scheduled stops, completed stops, missed stops, service exceptions</w:t>
            </w:r>
          </w:p>
        </w:tc>
        <w:tc>
          <w:tcPr>
            <w:tcW w:type="dxa" w:w="2920"/>
            <w:tcMar>
              <w:top w:w="90" w:type="dxa"/>
              <w:start w:w="120" w:type="dxa"/>
              <w:bottom w:w="90" w:type="dxa"/>
              <w:end w:w="120" w:type="dxa"/>
            </w:tcMar>
            <w:vAlign w:val="center"/>
          </w:tcPr>
          <w:p>
            <w:pPr>
              <w:spacing w:after="0"/>
              <w:jc w:val="center"/>
            </w:pPr>
            <w:r>
              <w:rPr>
                <w:rFonts w:ascii="Calibri" w:hAnsi="Calibri"/>
                <w:color w:val="0B2545"/>
                <w:sz w:val="19"/>
              </w:rPr>
              <w:t>Reliability, route analysis, customer alerts</w:t>
            </w:r>
          </w:p>
        </w:tc>
        <w:tc>
          <w:tcPr>
            <w:tcW w:type="dxa" w:w="1720"/>
            <w:tcMar>
              <w:top w:w="90" w:type="dxa"/>
              <w:start w:w="120" w:type="dxa"/>
              <w:bottom w:w="90" w:type="dxa"/>
              <w:end w:w="120" w:type="dxa"/>
            </w:tcMar>
            <w:vAlign w:val="center"/>
          </w:tcPr>
          <w:p>
            <w:pPr>
              <w:spacing w:after="0"/>
              <w:jc w:val="center"/>
            </w:pPr>
            <w:r>
              <w:rPr>
                <w:rFonts w:ascii="Calibri" w:hAnsi="Calibri"/>
                <w:color w:val="0B2545"/>
                <w:sz w:val="19"/>
              </w:rPr>
              <w:t>MVP</w:t>
            </w:r>
          </w:p>
        </w:tc>
      </w:tr>
      <w:tr>
        <w:tc>
          <w:tcPr>
            <w:tcW w:type="dxa" w:w="1900"/>
            <w:tcMar>
              <w:top w:w="90" w:type="dxa"/>
              <w:start w:w="120" w:type="dxa"/>
              <w:bottom w:w="90" w:type="dxa"/>
              <w:end w:w="120" w:type="dxa"/>
            </w:tcMar>
            <w:vAlign w:val="center"/>
          </w:tcPr>
          <w:p>
            <w:pPr>
              <w:spacing w:after="0"/>
              <w:jc w:val="left"/>
            </w:pPr>
            <w:r>
              <w:rPr>
                <w:rFonts w:ascii="Calibri" w:hAnsi="Calibri"/>
                <w:color w:val="0B2545"/>
                <w:sz w:val="19"/>
              </w:rPr>
              <w:t>Scale and ticket data</w:t>
            </w:r>
          </w:p>
        </w:tc>
        <w:tc>
          <w:tcPr>
            <w:tcW w:type="dxa" w:w="2820"/>
            <w:tcMar>
              <w:top w:w="90" w:type="dxa"/>
              <w:start w:w="120" w:type="dxa"/>
              <w:bottom w:w="90" w:type="dxa"/>
              <w:end w:w="120" w:type="dxa"/>
            </w:tcMar>
            <w:vAlign w:val="center"/>
          </w:tcPr>
          <w:p>
            <w:pPr>
              <w:spacing w:after="0"/>
              <w:jc w:val="left"/>
            </w:pPr>
            <w:r>
              <w:rPr>
                <w:rFonts w:ascii="Calibri" w:hAnsi="Calibri"/>
                <w:color w:val="0B2545"/>
                <w:sz w:val="19"/>
              </w:rPr>
              <w:t>Transfer station weights, WTE intake, landfill tickets, MRF outputs</w:t>
            </w:r>
          </w:p>
        </w:tc>
        <w:tc>
          <w:tcPr>
            <w:tcW w:type="dxa" w:w="2920"/>
            <w:tcMar>
              <w:top w:w="90" w:type="dxa"/>
              <w:start w:w="120" w:type="dxa"/>
              <w:bottom w:w="90" w:type="dxa"/>
              <w:end w:w="120" w:type="dxa"/>
            </w:tcMar>
            <w:vAlign w:val="center"/>
          </w:tcPr>
          <w:p>
            <w:pPr>
              <w:spacing w:after="0"/>
              <w:jc w:val="center"/>
            </w:pPr>
            <w:r>
              <w:rPr>
                <w:rFonts w:ascii="Calibri" w:hAnsi="Calibri"/>
                <w:color w:val="0B2545"/>
                <w:sz w:val="19"/>
              </w:rPr>
              <w:t>Material ledger and destination proof</w:t>
            </w:r>
          </w:p>
        </w:tc>
        <w:tc>
          <w:tcPr>
            <w:tcW w:type="dxa" w:w="1720"/>
            <w:tcMar>
              <w:top w:w="90" w:type="dxa"/>
              <w:start w:w="120" w:type="dxa"/>
              <w:bottom w:w="90" w:type="dxa"/>
              <w:end w:w="120" w:type="dxa"/>
            </w:tcMar>
            <w:vAlign w:val="center"/>
          </w:tcPr>
          <w:p>
            <w:pPr>
              <w:spacing w:after="0"/>
              <w:jc w:val="center"/>
            </w:pPr>
            <w:r>
              <w:rPr>
                <w:rFonts w:ascii="Calibri" w:hAnsi="Calibri"/>
                <w:color w:val="0B2545"/>
                <w:sz w:val="19"/>
              </w:rPr>
              <w:t>MVP</w:t>
            </w:r>
          </w:p>
        </w:tc>
      </w:tr>
      <w:tr>
        <w:tc>
          <w:tcPr>
            <w:tcW w:type="dxa" w:w="1900"/>
            <w:tcMar>
              <w:top w:w="90" w:type="dxa"/>
              <w:start w:w="120" w:type="dxa"/>
              <w:bottom w:w="90" w:type="dxa"/>
              <w:end w:w="120" w:type="dxa"/>
            </w:tcMar>
            <w:vAlign w:val="center"/>
          </w:tcPr>
          <w:p>
            <w:pPr>
              <w:spacing w:after="0"/>
              <w:jc w:val="left"/>
            </w:pPr>
            <w:r>
              <w:rPr>
                <w:rFonts w:ascii="Calibri" w:hAnsi="Calibri"/>
                <w:color w:val="0B2545"/>
                <w:sz w:val="19"/>
              </w:rPr>
              <w:t>Rail logistics data</w:t>
            </w:r>
          </w:p>
        </w:tc>
        <w:tc>
          <w:tcPr>
            <w:tcW w:type="dxa" w:w="2820"/>
            <w:tcMar>
              <w:top w:w="90" w:type="dxa"/>
              <w:start w:w="120" w:type="dxa"/>
              <w:bottom w:w="90" w:type="dxa"/>
              <w:end w:w="120" w:type="dxa"/>
            </w:tcMar>
            <w:vAlign w:val="center"/>
          </w:tcPr>
          <w:p>
            <w:pPr>
              <w:spacing w:after="0"/>
              <w:jc w:val="left"/>
            </w:pPr>
            <w:r>
              <w:rPr>
                <w:rFonts w:ascii="Calibri" w:hAnsi="Calibri"/>
                <w:color w:val="0B2545"/>
                <w:sz w:val="19"/>
              </w:rPr>
              <w:t>Railcar movement, transfer station origin, destination, tonnage</w:t>
            </w:r>
          </w:p>
        </w:tc>
        <w:tc>
          <w:tcPr>
            <w:tcW w:type="dxa" w:w="2920"/>
            <w:tcMar>
              <w:top w:w="90" w:type="dxa"/>
              <w:start w:w="120" w:type="dxa"/>
              <w:bottom w:w="90" w:type="dxa"/>
              <w:end w:w="120" w:type="dxa"/>
            </w:tcMar>
            <w:vAlign w:val="center"/>
          </w:tcPr>
          <w:p>
            <w:pPr>
              <w:spacing w:after="0"/>
              <w:jc w:val="center"/>
            </w:pPr>
            <w:r>
              <w:rPr>
                <w:rFonts w:ascii="Calibri" w:hAnsi="Calibri"/>
                <w:color w:val="0B2545"/>
                <w:sz w:val="19"/>
              </w:rPr>
              <w:t>Rail impact and cost/carbon modeling</w:t>
            </w:r>
          </w:p>
        </w:tc>
        <w:tc>
          <w:tcPr>
            <w:tcW w:type="dxa" w:w="1720"/>
            <w:tcMar>
              <w:top w:w="90" w:type="dxa"/>
              <w:start w:w="120" w:type="dxa"/>
              <w:bottom w:w="90" w:type="dxa"/>
              <w:end w:w="120" w:type="dxa"/>
            </w:tcMar>
            <w:vAlign w:val="center"/>
          </w:tcPr>
          <w:p>
            <w:pPr>
              <w:spacing w:after="0"/>
              <w:jc w:val="center"/>
            </w:pPr>
            <w:r>
              <w:rPr>
                <w:rFonts w:ascii="Calibri" w:hAnsi="Calibri"/>
                <w:color w:val="0B2545"/>
                <w:sz w:val="19"/>
              </w:rPr>
              <w:t>MVP+</w:t>
            </w:r>
          </w:p>
        </w:tc>
      </w:tr>
      <w:tr>
        <w:tc>
          <w:tcPr>
            <w:tcW w:type="dxa" w:w="1900"/>
            <w:tcMar>
              <w:top w:w="90" w:type="dxa"/>
              <w:start w:w="120" w:type="dxa"/>
              <w:bottom w:w="90" w:type="dxa"/>
              <w:end w:w="120" w:type="dxa"/>
            </w:tcMar>
            <w:vAlign w:val="center"/>
          </w:tcPr>
          <w:p>
            <w:pPr>
              <w:spacing w:after="0"/>
              <w:jc w:val="left"/>
            </w:pPr>
            <w:r>
              <w:rPr>
                <w:rFonts w:ascii="Calibri" w:hAnsi="Calibri"/>
                <w:color w:val="0B2545"/>
                <w:sz w:val="19"/>
              </w:rPr>
              <w:t>Compactor telemetry</w:t>
            </w:r>
          </w:p>
        </w:tc>
        <w:tc>
          <w:tcPr>
            <w:tcW w:type="dxa" w:w="2820"/>
            <w:tcMar>
              <w:top w:w="90" w:type="dxa"/>
              <w:start w:w="120" w:type="dxa"/>
              <w:bottom w:w="90" w:type="dxa"/>
              <w:end w:w="120" w:type="dxa"/>
            </w:tcMar>
            <w:vAlign w:val="center"/>
          </w:tcPr>
          <w:p>
            <w:pPr>
              <w:spacing w:after="0"/>
              <w:jc w:val="left"/>
            </w:pPr>
            <w:r>
              <w:rPr>
                <w:rFonts w:ascii="Calibri" w:hAnsi="Calibri"/>
                <w:color w:val="0B2545"/>
                <w:sz w:val="19"/>
              </w:rPr>
              <w:t>Fill level, pressure, cycles, fault signals</w:t>
            </w:r>
          </w:p>
        </w:tc>
        <w:tc>
          <w:tcPr>
            <w:tcW w:type="dxa" w:w="2920"/>
            <w:tcMar>
              <w:top w:w="90" w:type="dxa"/>
              <w:start w:w="120" w:type="dxa"/>
              <w:bottom w:w="90" w:type="dxa"/>
              <w:end w:w="120" w:type="dxa"/>
            </w:tcMar>
            <w:vAlign w:val="center"/>
          </w:tcPr>
          <w:p>
            <w:pPr>
              <w:spacing w:after="0"/>
              <w:jc w:val="center"/>
            </w:pPr>
            <w:r>
              <w:rPr>
                <w:rFonts w:ascii="Calibri" w:hAnsi="Calibri"/>
                <w:color w:val="0B2545"/>
                <w:sz w:val="19"/>
              </w:rPr>
              <w:t>Pickup optimization and maintenance</w:t>
            </w:r>
          </w:p>
        </w:tc>
        <w:tc>
          <w:tcPr>
            <w:tcW w:type="dxa" w:w="1720"/>
            <w:tcMar>
              <w:top w:w="90" w:type="dxa"/>
              <w:start w:w="120" w:type="dxa"/>
              <w:bottom w:w="90" w:type="dxa"/>
              <w:end w:w="120" w:type="dxa"/>
            </w:tcMar>
            <w:vAlign w:val="center"/>
          </w:tcPr>
          <w:p>
            <w:pPr>
              <w:spacing w:after="0"/>
              <w:jc w:val="center"/>
            </w:pPr>
            <w:r>
              <w:rPr>
                <w:rFonts w:ascii="Calibri" w:hAnsi="Calibri"/>
                <w:color w:val="0B2545"/>
                <w:sz w:val="19"/>
              </w:rPr>
              <w:t>Pilot</w:t>
            </w:r>
          </w:p>
        </w:tc>
      </w:tr>
      <w:tr>
        <w:tc>
          <w:tcPr>
            <w:tcW w:type="dxa" w:w="1900"/>
            <w:tcMar>
              <w:top w:w="90" w:type="dxa"/>
              <w:start w:w="120" w:type="dxa"/>
              <w:bottom w:w="90" w:type="dxa"/>
              <w:end w:w="120" w:type="dxa"/>
            </w:tcMar>
            <w:vAlign w:val="center"/>
          </w:tcPr>
          <w:p>
            <w:pPr>
              <w:spacing w:after="0"/>
              <w:jc w:val="left"/>
            </w:pPr>
            <w:r>
              <w:rPr>
                <w:rFonts w:ascii="Calibri" w:hAnsi="Calibri"/>
                <w:color w:val="0B2545"/>
                <w:sz w:val="19"/>
              </w:rPr>
              <w:t>Photo/computer vision</w:t>
            </w:r>
          </w:p>
        </w:tc>
        <w:tc>
          <w:tcPr>
            <w:tcW w:type="dxa" w:w="2820"/>
            <w:tcMar>
              <w:top w:w="90" w:type="dxa"/>
              <w:start w:w="120" w:type="dxa"/>
              <w:bottom w:w="90" w:type="dxa"/>
              <w:end w:w="120" w:type="dxa"/>
            </w:tcMar>
            <w:vAlign w:val="center"/>
          </w:tcPr>
          <w:p>
            <w:pPr>
              <w:spacing w:after="0"/>
              <w:jc w:val="left"/>
            </w:pPr>
            <w:r>
              <w:rPr>
                <w:rFonts w:ascii="Calibri" w:hAnsi="Calibri"/>
                <w:color w:val="0B2545"/>
                <w:sz w:val="19"/>
              </w:rPr>
              <w:t>Dock images, contaminated bins, special-waste intake, MRF snapshots</w:t>
            </w:r>
          </w:p>
        </w:tc>
        <w:tc>
          <w:tcPr>
            <w:tcW w:type="dxa" w:w="2920"/>
            <w:tcMar>
              <w:top w:w="90" w:type="dxa"/>
              <w:start w:w="120" w:type="dxa"/>
              <w:bottom w:w="90" w:type="dxa"/>
              <w:end w:w="120" w:type="dxa"/>
            </w:tcMar>
            <w:vAlign w:val="center"/>
          </w:tcPr>
          <w:p>
            <w:pPr>
              <w:spacing w:after="0"/>
              <w:jc w:val="center"/>
            </w:pPr>
            <w:r>
              <w:rPr>
                <w:rFonts w:ascii="Calibri" w:hAnsi="Calibri"/>
                <w:color w:val="0B2545"/>
                <w:sz w:val="19"/>
              </w:rPr>
              <w:t>Diagnostics and customer coaching</w:t>
            </w:r>
          </w:p>
        </w:tc>
        <w:tc>
          <w:tcPr>
            <w:tcW w:type="dxa" w:w="1720"/>
            <w:tcMar>
              <w:top w:w="90" w:type="dxa"/>
              <w:start w:w="120" w:type="dxa"/>
              <w:bottom w:w="90" w:type="dxa"/>
              <w:end w:w="120" w:type="dxa"/>
            </w:tcMar>
            <w:vAlign w:val="center"/>
          </w:tcPr>
          <w:p>
            <w:pPr>
              <w:spacing w:after="0"/>
              <w:jc w:val="center"/>
            </w:pPr>
            <w:r>
              <w:rPr>
                <w:rFonts w:ascii="Calibri" w:hAnsi="Calibri"/>
                <w:color w:val="0B2545"/>
                <w:sz w:val="19"/>
              </w:rPr>
              <w:t>Pilot</w:t>
            </w:r>
          </w:p>
        </w:tc>
      </w:tr>
      <w:tr>
        <w:tc>
          <w:tcPr>
            <w:tcW w:type="dxa" w:w="1900"/>
            <w:tcMar>
              <w:top w:w="90" w:type="dxa"/>
              <w:start w:w="120" w:type="dxa"/>
              <w:bottom w:w="90" w:type="dxa"/>
              <w:end w:w="120" w:type="dxa"/>
            </w:tcMar>
            <w:vAlign w:val="center"/>
          </w:tcPr>
          <w:p>
            <w:pPr>
              <w:spacing w:after="0"/>
              <w:jc w:val="left"/>
            </w:pPr>
            <w:r>
              <w:rPr>
                <w:rFonts w:ascii="Calibri" w:hAnsi="Calibri"/>
                <w:color w:val="0B2545"/>
                <w:sz w:val="19"/>
              </w:rPr>
              <w:t>Sustainability factors</w:t>
            </w:r>
          </w:p>
        </w:tc>
        <w:tc>
          <w:tcPr>
            <w:tcW w:type="dxa" w:w="2820"/>
            <w:tcMar>
              <w:top w:w="90" w:type="dxa"/>
              <w:start w:w="120" w:type="dxa"/>
              <w:bottom w:w="90" w:type="dxa"/>
              <w:end w:w="120" w:type="dxa"/>
            </w:tcMar>
            <w:vAlign w:val="center"/>
          </w:tcPr>
          <w:p>
            <w:pPr>
              <w:spacing w:after="0"/>
              <w:jc w:val="left"/>
            </w:pPr>
            <w:r>
              <w:rPr>
                <w:rFonts w:ascii="Calibri" w:hAnsi="Calibri"/>
                <w:color w:val="0B2545"/>
                <w:sz w:val="19"/>
              </w:rPr>
              <w:t>WTE equivalents, rail vs. truck factors, recycling factors, landfill methane assumptions</w:t>
            </w:r>
          </w:p>
        </w:tc>
        <w:tc>
          <w:tcPr>
            <w:tcW w:type="dxa" w:w="2920"/>
            <w:tcMar>
              <w:top w:w="90" w:type="dxa"/>
              <w:start w:w="120" w:type="dxa"/>
              <w:bottom w:w="90" w:type="dxa"/>
              <w:end w:w="120" w:type="dxa"/>
            </w:tcMar>
            <w:vAlign w:val="center"/>
          </w:tcPr>
          <w:p>
            <w:pPr>
              <w:spacing w:after="0"/>
              <w:jc w:val="center"/>
            </w:pPr>
            <w:r>
              <w:rPr>
                <w:rFonts w:ascii="Calibri" w:hAnsi="Calibri"/>
                <w:color w:val="0B2545"/>
                <w:sz w:val="19"/>
              </w:rPr>
              <w:t>ESG calculations and reporting</w:t>
            </w:r>
          </w:p>
        </w:tc>
        <w:tc>
          <w:tcPr>
            <w:tcW w:type="dxa" w:w="1720"/>
            <w:tcMar>
              <w:top w:w="90" w:type="dxa"/>
              <w:start w:w="120" w:type="dxa"/>
              <w:bottom w:w="90" w:type="dxa"/>
              <w:end w:w="120" w:type="dxa"/>
            </w:tcMar>
            <w:vAlign w:val="center"/>
          </w:tcPr>
          <w:p>
            <w:pPr>
              <w:spacing w:after="0"/>
              <w:jc w:val="center"/>
            </w:pPr>
            <w:r>
              <w:rPr>
                <w:rFonts w:ascii="Calibri" w:hAnsi="Calibri"/>
                <w:color w:val="0B2545"/>
                <w:sz w:val="19"/>
              </w:rPr>
              <w:t>MVP</w:t>
            </w:r>
          </w:p>
        </w:tc>
      </w:tr>
    </w:tbl>
    <w:p>
      <w:pPr>
        <w:spacing w:after="80"/>
      </w:pPr>
    </w:p>
    <w:p>
      <w:pPr>
        <w:pStyle w:val="Heading1"/>
      </w:pPr>
      <w:r>
        <w:t>8. Reference Architecture</w:t>
      </w:r>
    </w:p>
    <w:p>
      <w:r>
        <w:t>A practical architecture should layer on top of existing systems rather than replacing them. The platform should ingest from operational systems, normalize material events into a shared ledger, then expose role-specific applications.</w:t>
      </w:r>
    </w:p>
    <w:p>
      <w:pPr>
        <w:pStyle w:val="ListBullet"/>
        <w:spacing w:after="80"/>
      </w:pPr>
      <w:r>
        <w:t>Ingestion: CRM, billing, route management, scale systems, transfer station systems, WTE facility records, MRF outputs, rail logistics, customer service records, and optional IoT devices.</w:t>
      </w:r>
    </w:p>
    <w:p>
      <w:pPr>
        <w:pStyle w:val="ListBullet"/>
        <w:spacing w:after="80"/>
      </w:pPr>
      <w:r>
        <w:t>Material event ledger: a canonical record of collection, transfer, processing, recovery, rail movement, WTE conversion, landfill disposal, exception, and certificate events.</w:t>
      </w:r>
    </w:p>
    <w:p>
      <w:pPr>
        <w:pStyle w:val="ListBullet"/>
        <w:spacing w:after="80"/>
      </w:pPr>
      <w:r>
        <w:t>Analytics layer: service optimization, compactor recommendations, contamination scoring, customer benchmarking, sustainability calculations, and what-if modeling.</w:t>
      </w:r>
    </w:p>
    <w:p>
      <w:pPr>
        <w:pStyle w:val="ListBullet"/>
        <w:spacing w:after="80"/>
      </w:pPr>
      <w:r>
        <w:t>Applications: customer portal, account-manager cockpit, dispatch/operations dashboard, sales demo mode, ESG export generator, and special-waste certificate workflow.</w:t>
      </w:r>
    </w:p>
    <w:p>
      <w:pPr>
        <w:pStyle w:val="ListBullet"/>
        <w:spacing w:after="80"/>
      </w:pPr>
      <w:r>
        <w:t>Governance: audit trails, factor versioning, customer-visible assumptions, approval workflows, and role-based access.</w:t>
      </w:r>
    </w:p>
    <w:p>
      <w:pPr>
        <w:pStyle w:val="Heading1"/>
      </w:pPr>
      <w:r>
        <w:t>9. Business Value Model</w:t>
      </w:r>
    </w:p>
    <w:p>
      <w:r>
        <w:t>The value case is strongest because the same platform can create revenue, margin, retention, and brand value. It does not depend on one narrow ROI lever.</w:t>
      </w:r>
    </w:p>
    <w:tbl>
      <w:tblPr>
        <w:tblStyle w:val="TableGrid"/>
        <w:tblW w:type="dxa" w:w="9360"/>
        <w:jc w:val="left"/>
        <w:tblLayout w:type="fixed"/>
        <w:tblLook w:firstColumn="1" w:firstRow="1" w:lastColumn="0" w:lastRow="0" w:noHBand="0" w:noVBand="1" w:val="04A0"/>
        <w:tblInd w:w="120" w:type="dxa"/>
      </w:tblPr>
      <w:tblGrid>
        <w:gridCol w:w="1800"/>
        <w:gridCol w:w="5100"/>
        <w:gridCol w:w="2460"/>
      </w:tblGrid>
      <w:tr>
        <w:tc>
          <w:tcPr>
            <w:tcW w:type="dxa" w:w="1800"/>
            <w:tcMar>
              <w:top w:w="90" w:type="dxa"/>
              <w:start w:w="120" w:type="dxa"/>
              <w:bottom w:w="90" w:type="dxa"/>
              <w:end w:w="120" w:type="dxa"/>
            </w:tcMar>
            <w:vAlign w:val="center"/>
            <w:shd w:fill="F2F4F7"/>
          </w:tcPr>
          <w:p>
            <w:pPr>
              <w:jc w:val="left"/>
            </w:pPr>
            <w:r>
              <w:rPr>
                <w:rFonts w:ascii="Calibri" w:hAnsi="Calibri"/>
                <w:b/>
                <w:color w:val="0B2545"/>
                <w:sz w:val="20"/>
              </w:rPr>
              <w:t>Value lever</w:t>
            </w:r>
          </w:p>
        </w:tc>
        <w:tc>
          <w:tcPr>
            <w:tcW w:type="dxa" w:w="5100"/>
            <w:tcMar>
              <w:top w:w="90" w:type="dxa"/>
              <w:start w:w="120" w:type="dxa"/>
              <w:bottom w:w="90" w:type="dxa"/>
              <w:end w:w="120" w:type="dxa"/>
            </w:tcMar>
            <w:vAlign w:val="center"/>
            <w:shd w:fill="F2F4F7"/>
          </w:tcPr>
          <w:p>
            <w:pPr>
              <w:jc w:val="center"/>
            </w:pPr>
            <w:r>
              <w:rPr>
                <w:rFonts w:ascii="Calibri" w:hAnsi="Calibri"/>
                <w:b/>
                <w:color w:val="0B2545"/>
                <w:sz w:val="20"/>
              </w:rPr>
              <w:t>How the app creates value</w:t>
            </w:r>
          </w:p>
        </w:tc>
        <w:tc>
          <w:tcPr>
            <w:tcW w:type="dxa" w:w="2460"/>
            <w:tcMar>
              <w:top w:w="90" w:type="dxa"/>
              <w:start w:w="120" w:type="dxa"/>
              <w:bottom w:w="90" w:type="dxa"/>
              <w:end w:w="120" w:type="dxa"/>
            </w:tcMar>
            <w:vAlign w:val="center"/>
            <w:shd w:fill="F2F4F7"/>
          </w:tcPr>
          <w:p>
            <w:pPr>
              <w:jc w:val="center"/>
            </w:pPr>
            <w:r>
              <w:rPr>
                <w:rFonts w:ascii="Calibri" w:hAnsi="Calibri"/>
                <w:b/>
                <w:color w:val="0B2545"/>
                <w:sz w:val="20"/>
              </w:rPr>
              <w:t>Example metric</w:t>
            </w:r>
          </w:p>
        </w:tc>
      </w:tr>
      <w:tr>
        <w:tc>
          <w:tcPr>
            <w:tcW w:type="dxa" w:w="1800"/>
            <w:tcMar>
              <w:top w:w="90" w:type="dxa"/>
              <w:start w:w="120" w:type="dxa"/>
              <w:bottom w:w="90" w:type="dxa"/>
              <w:end w:w="120" w:type="dxa"/>
            </w:tcMar>
            <w:vAlign w:val="center"/>
          </w:tcPr>
          <w:p>
            <w:pPr>
              <w:spacing w:after="0"/>
              <w:jc w:val="left"/>
            </w:pPr>
            <w:r>
              <w:rPr>
                <w:rFonts w:ascii="Calibri" w:hAnsi="Calibri"/>
                <w:color w:val="0B2545"/>
                <w:sz w:val="19"/>
              </w:rPr>
              <w:t>Premium revenue</w:t>
            </w:r>
          </w:p>
        </w:tc>
        <w:tc>
          <w:tcPr>
            <w:tcW w:type="dxa" w:w="5100"/>
            <w:tcMar>
              <w:top w:w="90" w:type="dxa"/>
              <w:start w:w="120" w:type="dxa"/>
              <w:bottom w:w="90" w:type="dxa"/>
              <w:end w:w="120" w:type="dxa"/>
            </w:tcMar>
            <w:vAlign w:val="center"/>
          </w:tcPr>
          <w:p>
            <w:pPr>
              <w:spacing w:after="0"/>
              <w:jc w:val="left"/>
            </w:pPr>
            <w:r>
              <w:rPr>
                <w:rFonts w:ascii="Calibri" w:hAnsi="Calibri"/>
                <w:color w:val="0B2545"/>
                <w:sz w:val="19"/>
              </w:rPr>
              <w:t>Sell analytics, reporting, advisory, and verified ESG exports as subscription tiers.</w:t>
            </w:r>
          </w:p>
        </w:tc>
        <w:tc>
          <w:tcPr>
            <w:tcW w:type="dxa" w:w="2460"/>
            <w:tcMar>
              <w:top w:w="90" w:type="dxa"/>
              <w:start w:w="120" w:type="dxa"/>
              <w:bottom w:w="90" w:type="dxa"/>
              <w:end w:w="120" w:type="dxa"/>
            </w:tcMar>
            <w:vAlign w:val="center"/>
          </w:tcPr>
          <w:p>
            <w:pPr>
              <w:spacing w:after="0"/>
              <w:jc w:val="center"/>
            </w:pPr>
            <w:r>
              <w:rPr>
                <w:rFonts w:ascii="Calibri" w:hAnsi="Calibri"/>
                <w:color w:val="0B2545"/>
                <w:sz w:val="19"/>
              </w:rPr>
              <w:t>Attach rate and monthly recurring revenue per strategic account</w:t>
            </w:r>
          </w:p>
        </w:tc>
      </w:tr>
      <w:tr>
        <w:tc>
          <w:tcPr>
            <w:tcW w:type="dxa" w:w="1800"/>
            <w:tcMar>
              <w:top w:w="90" w:type="dxa"/>
              <w:start w:w="120" w:type="dxa"/>
              <w:bottom w:w="90" w:type="dxa"/>
              <w:end w:w="120" w:type="dxa"/>
            </w:tcMar>
            <w:vAlign w:val="center"/>
          </w:tcPr>
          <w:p>
            <w:pPr>
              <w:spacing w:after="0"/>
              <w:jc w:val="left"/>
            </w:pPr>
            <w:r>
              <w:rPr>
                <w:rFonts w:ascii="Calibri" w:hAnsi="Calibri"/>
                <w:color w:val="0B2545"/>
                <w:sz w:val="19"/>
              </w:rPr>
              <w:t>Retention</w:t>
            </w:r>
          </w:p>
        </w:tc>
        <w:tc>
          <w:tcPr>
            <w:tcW w:type="dxa" w:w="5100"/>
            <w:tcMar>
              <w:top w:w="90" w:type="dxa"/>
              <w:start w:w="120" w:type="dxa"/>
              <w:bottom w:w="90" w:type="dxa"/>
              <w:end w:w="120" w:type="dxa"/>
            </w:tcMar>
            <w:vAlign w:val="center"/>
          </w:tcPr>
          <w:p>
            <w:pPr>
              <w:spacing w:after="0"/>
              <w:jc w:val="left"/>
            </w:pPr>
            <w:r>
              <w:rPr>
                <w:rFonts w:ascii="Calibri" w:hAnsi="Calibri"/>
                <w:color w:val="0B2545"/>
                <w:sz w:val="19"/>
              </w:rPr>
              <w:t>Make WIN the source of record for waste and sustainability data.</w:t>
            </w:r>
          </w:p>
        </w:tc>
        <w:tc>
          <w:tcPr>
            <w:tcW w:type="dxa" w:w="2460"/>
            <w:tcMar>
              <w:top w:w="90" w:type="dxa"/>
              <w:start w:w="120" w:type="dxa"/>
              <w:bottom w:w="90" w:type="dxa"/>
              <w:end w:w="120" w:type="dxa"/>
            </w:tcMar>
            <w:vAlign w:val="center"/>
          </w:tcPr>
          <w:p>
            <w:pPr>
              <w:spacing w:after="0"/>
              <w:jc w:val="center"/>
            </w:pPr>
            <w:r>
              <w:rPr>
                <w:rFonts w:ascii="Calibri" w:hAnsi="Calibri"/>
                <w:color w:val="0B2545"/>
                <w:sz w:val="19"/>
              </w:rPr>
              <w:t>Churn reduction among enrolled customers</w:t>
            </w:r>
          </w:p>
        </w:tc>
      </w:tr>
      <w:tr>
        <w:tc>
          <w:tcPr>
            <w:tcW w:type="dxa" w:w="1800"/>
            <w:tcMar>
              <w:top w:w="90" w:type="dxa"/>
              <w:start w:w="120" w:type="dxa"/>
              <w:bottom w:w="90" w:type="dxa"/>
              <w:end w:w="120" w:type="dxa"/>
            </w:tcMar>
            <w:vAlign w:val="center"/>
          </w:tcPr>
          <w:p>
            <w:pPr>
              <w:spacing w:after="0"/>
              <w:jc w:val="left"/>
            </w:pPr>
            <w:r>
              <w:rPr>
                <w:rFonts w:ascii="Calibri" w:hAnsi="Calibri"/>
                <w:color w:val="0B2545"/>
                <w:sz w:val="19"/>
              </w:rPr>
              <w:t>Haul optimization</w:t>
            </w:r>
          </w:p>
        </w:tc>
        <w:tc>
          <w:tcPr>
            <w:tcW w:type="dxa" w:w="5100"/>
            <w:tcMar>
              <w:top w:w="90" w:type="dxa"/>
              <w:start w:w="120" w:type="dxa"/>
              <w:bottom w:w="90" w:type="dxa"/>
              <w:end w:w="120" w:type="dxa"/>
            </w:tcMar>
            <w:vAlign w:val="center"/>
          </w:tcPr>
          <w:p>
            <w:pPr>
              <w:spacing w:after="0"/>
              <w:jc w:val="left"/>
            </w:pPr>
            <w:r>
              <w:rPr>
                <w:rFonts w:ascii="Calibri" w:hAnsi="Calibri"/>
                <w:color w:val="0B2545"/>
                <w:sz w:val="19"/>
              </w:rPr>
              <w:t>Avoid underfilled pickups and dispatch only when service value is clear.</w:t>
            </w:r>
          </w:p>
        </w:tc>
        <w:tc>
          <w:tcPr>
            <w:tcW w:type="dxa" w:w="2460"/>
            <w:tcMar>
              <w:top w:w="90" w:type="dxa"/>
              <w:start w:w="120" w:type="dxa"/>
              <w:bottom w:w="90" w:type="dxa"/>
              <w:end w:w="120" w:type="dxa"/>
            </w:tcMar>
            <w:vAlign w:val="center"/>
          </w:tcPr>
          <w:p>
            <w:pPr>
              <w:spacing w:after="0"/>
              <w:jc w:val="center"/>
            </w:pPr>
            <w:r>
              <w:rPr>
                <w:rFonts w:ascii="Calibri" w:hAnsi="Calibri"/>
                <w:color w:val="0B2545"/>
                <w:sz w:val="19"/>
              </w:rPr>
              <w:t>Hauls avoided and cost saved</w:t>
            </w:r>
          </w:p>
        </w:tc>
      </w:tr>
      <w:tr>
        <w:tc>
          <w:tcPr>
            <w:tcW w:type="dxa" w:w="1800"/>
            <w:tcMar>
              <w:top w:w="90" w:type="dxa"/>
              <w:start w:w="120" w:type="dxa"/>
              <w:bottom w:w="90" w:type="dxa"/>
              <w:end w:w="120" w:type="dxa"/>
            </w:tcMar>
            <w:vAlign w:val="center"/>
          </w:tcPr>
          <w:p>
            <w:pPr>
              <w:spacing w:after="0"/>
              <w:jc w:val="left"/>
            </w:pPr>
            <w:r>
              <w:rPr>
                <w:rFonts w:ascii="Calibri" w:hAnsi="Calibri"/>
                <w:color w:val="0B2545"/>
                <w:sz w:val="19"/>
              </w:rPr>
              <w:t>Compactor conversion</w:t>
            </w:r>
          </w:p>
        </w:tc>
        <w:tc>
          <w:tcPr>
            <w:tcW w:type="dxa" w:w="5100"/>
            <w:tcMar>
              <w:top w:w="90" w:type="dxa"/>
              <w:start w:w="120" w:type="dxa"/>
              <w:bottom w:w="90" w:type="dxa"/>
              <w:end w:w="120" w:type="dxa"/>
            </w:tcMar>
            <w:vAlign w:val="center"/>
          </w:tcPr>
          <w:p>
            <w:pPr>
              <w:spacing w:after="0"/>
              <w:jc w:val="left"/>
            </w:pPr>
            <w:r>
              <w:rPr>
                <w:rFonts w:ascii="Calibri" w:hAnsi="Calibri"/>
                <w:color w:val="0B2545"/>
                <w:sz w:val="19"/>
              </w:rPr>
              <w:t>Identify customers where compactors reduce cost and improve service.</w:t>
            </w:r>
          </w:p>
        </w:tc>
        <w:tc>
          <w:tcPr>
            <w:tcW w:type="dxa" w:w="2460"/>
            <w:tcMar>
              <w:top w:w="90" w:type="dxa"/>
              <w:start w:w="120" w:type="dxa"/>
              <w:bottom w:w="90" w:type="dxa"/>
              <w:end w:w="120" w:type="dxa"/>
            </w:tcMar>
            <w:vAlign w:val="center"/>
          </w:tcPr>
          <w:p>
            <w:pPr>
              <w:spacing w:after="0"/>
              <w:jc w:val="center"/>
            </w:pPr>
            <w:r>
              <w:rPr>
                <w:rFonts w:ascii="Calibri" w:hAnsi="Calibri"/>
                <w:color w:val="0B2545"/>
                <w:sz w:val="19"/>
              </w:rPr>
              <w:t>New compactor deals and avoided overflow events</w:t>
            </w:r>
          </w:p>
        </w:tc>
      </w:tr>
      <w:tr>
        <w:tc>
          <w:tcPr>
            <w:tcW w:type="dxa" w:w="1800"/>
            <w:tcMar>
              <w:top w:w="90" w:type="dxa"/>
              <w:start w:w="120" w:type="dxa"/>
              <w:bottom w:w="90" w:type="dxa"/>
              <w:end w:w="120" w:type="dxa"/>
            </w:tcMar>
            <w:vAlign w:val="center"/>
          </w:tcPr>
          <w:p>
            <w:pPr>
              <w:spacing w:after="0"/>
              <w:jc w:val="left"/>
            </w:pPr>
            <w:r>
              <w:rPr>
                <w:rFonts w:ascii="Calibri" w:hAnsi="Calibri"/>
                <w:color w:val="0B2545"/>
                <w:sz w:val="19"/>
              </w:rPr>
              <w:t>Rail utilization</w:t>
            </w:r>
          </w:p>
        </w:tc>
        <w:tc>
          <w:tcPr>
            <w:tcW w:type="dxa" w:w="5100"/>
            <w:tcMar>
              <w:top w:w="90" w:type="dxa"/>
              <w:start w:w="120" w:type="dxa"/>
              <w:bottom w:w="90" w:type="dxa"/>
              <w:end w:w="120" w:type="dxa"/>
            </w:tcMar>
            <w:vAlign w:val="center"/>
          </w:tcPr>
          <w:p>
            <w:pPr>
              <w:spacing w:after="0"/>
              <w:jc w:val="left"/>
            </w:pPr>
            <w:r>
              <w:rPr>
                <w:rFonts w:ascii="Calibri" w:hAnsi="Calibri"/>
                <w:color w:val="0B2545"/>
                <w:sz w:val="19"/>
              </w:rPr>
              <w:t>Show and optimize rail movement where feasible.</w:t>
            </w:r>
          </w:p>
        </w:tc>
        <w:tc>
          <w:tcPr>
            <w:tcW w:type="dxa" w:w="2460"/>
            <w:tcMar>
              <w:top w:w="90" w:type="dxa"/>
              <w:start w:w="120" w:type="dxa"/>
              <w:bottom w:w="90" w:type="dxa"/>
              <w:end w:w="120" w:type="dxa"/>
            </w:tcMar>
            <w:vAlign w:val="center"/>
          </w:tcPr>
          <w:p>
            <w:pPr>
              <w:spacing w:after="0"/>
              <w:jc w:val="center"/>
            </w:pPr>
            <w:r>
              <w:rPr>
                <w:rFonts w:ascii="Calibri" w:hAnsi="Calibri"/>
                <w:color w:val="0B2545"/>
                <w:sz w:val="19"/>
              </w:rPr>
              <w:t>Tons moved by rail and truck miles avoided</w:t>
            </w:r>
          </w:p>
        </w:tc>
      </w:tr>
      <w:tr>
        <w:tc>
          <w:tcPr>
            <w:tcW w:type="dxa" w:w="1800"/>
            <w:tcMar>
              <w:top w:w="90" w:type="dxa"/>
              <w:start w:w="120" w:type="dxa"/>
              <w:bottom w:w="90" w:type="dxa"/>
              <w:end w:w="120" w:type="dxa"/>
            </w:tcMar>
            <w:vAlign w:val="center"/>
          </w:tcPr>
          <w:p>
            <w:pPr>
              <w:spacing w:after="0"/>
              <w:jc w:val="left"/>
            </w:pPr>
            <w:r>
              <w:rPr>
                <w:rFonts w:ascii="Calibri" w:hAnsi="Calibri"/>
                <w:color w:val="0B2545"/>
                <w:sz w:val="19"/>
              </w:rPr>
              <w:t>Contamination reduction</w:t>
            </w:r>
          </w:p>
        </w:tc>
        <w:tc>
          <w:tcPr>
            <w:tcW w:type="dxa" w:w="5100"/>
            <w:tcMar>
              <w:top w:w="90" w:type="dxa"/>
              <w:start w:w="120" w:type="dxa"/>
              <w:bottom w:w="90" w:type="dxa"/>
              <w:end w:w="120" w:type="dxa"/>
            </w:tcMar>
            <w:vAlign w:val="center"/>
          </w:tcPr>
          <w:p>
            <w:pPr>
              <w:spacing w:after="0"/>
              <w:jc w:val="left"/>
            </w:pPr>
            <w:r>
              <w:rPr>
                <w:rFonts w:ascii="Calibri" w:hAnsi="Calibri"/>
                <w:color w:val="0B2545"/>
                <w:sz w:val="19"/>
              </w:rPr>
              <w:t>Detect problem streams early and coach customers.</w:t>
            </w:r>
          </w:p>
        </w:tc>
        <w:tc>
          <w:tcPr>
            <w:tcW w:type="dxa" w:w="2460"/>
            <w:tcMar>
              <w:top w:w="90" w:type="dxa"/>
              <w:start w:w="120" w:type="dxa"/>
              <w:bottom w:w="90" w:type="dxa"/>
              <w:end w:w="120" w:type="dxa"/>
            </w:tcMar>
            <w:vAlign w:val="center"/>
          </w:tcPr>
          <w:p>
            <w:pPr>
              <w:spacing w:after="0"/>
              <w:jc w:val="center"/>
            </w:pPr>
            <w:r>
              <w:rPr>
                <w:rFonts w:ascii="Calibri" w:hAnsi="Calibri"/>
                <w:color w:val="0B2545"/>
                <w:sz w:val="19"/>
              </w:rPr>
              <w:t>Contamination events and rejected loads reduced</w:t>
            </w:r>
          </w:p>
        </w:tc>
      </w:tr>
      <w:tr>
        <w:tc>
          <w:tcPr>
            <w:tcW w:type="dxa" w:w="1800"/>
            <w:tcMar>
              <w:top w:w="90" w:type="dxa"/>
              <w:start w:w="120" w:type="dxa"/>
              <w:bottom w:w="90" w:type="dxa"/>
              <w:end w:w="120" w:type="dxa"/>
            </w:tcMar>
            <w:vAlign w:val="center"/>
          </w:tcPr>
          <w:p>
            <w:pPr>
              <w:spacing w:after="0"/>
              <w:jc w:val="left"/>
            </w:pPr>
            <w:r>
              <w:rPr>
                <w:rFonts w:ascii="Calibri" w:hAnsi="Calibri"/>
                <w:color w:val="0B2545"/>
                <w:sz w:val="19"/>
              </w:rPr>
              <w:t>Sales conversion</w:t>
            </w:r>
          </w:p>
        </w:tc>
        <w:tc>
          <w:tcPr>
            <w:tcW w:type="dxa" w:w="5100"/>
            <w:tcMar>
              <w:top w:w="90" w:type="dxa"/>
              <w:start w:w="120" w:type="dxa"/>
              <w:bottom w:w="90" w:type="dxa"/>
              <w:end w:w="120" w:type="dxa"/>
            </w:tcMar>
            <w:vAlign w:val="center"/>
          </w:tcPr>
          <w:p>
            <w:pPr>
              <w:spacing w:after="0"/>
              <w:jc w:val="left"/>
            </w:pPr>
            <w:r>
              <w:rPr>
                <w:rFonts w:ascii="Calibri" w:hAnsi="Calibri"/>
                <w:color w:val="0B2545"/>
                <w:sz w:val="19"/>
              </w:rPr>
              <w:t>Use customer-specific simulations in proposals.</w:t>
            </w:r>
          </w:p>
        </w:tc>
        <w:tc>
          <w:tcPr>
            <w:tcW w:type="dxa" w:w="2460"/>
            <w:tcMar>
              <w:top w:w="90" w:type="dxa"/>
              <w:start w:w="120" w:type="dxa"/>
              <w:bottom w:w="90" w:type="dxa"/>
              <w:end w:w="120" w:type="dxa"/>
            </w:tcMar>
            <w:vAlign w:val="center"/>
          </w:tcPr>
          <w:p>
            <w:pPr>
              <w:spacing w:after="0"/>
              <w:jc w:val="center"/>
            </w:pPr>
            <w:r>
              <w:rPr>
                <w:rFonts w:ascii="Calibri" w:hAnsi="Calibri"/>
                <w:color w:val="0B2545"/>
                <w:sz w:val="19"/>
              </w:rPr>
              <w:t>Win rate and average contract value</w:t>
            </w:r>
          </w:p>
        </w:tc>
      </w:tr>
    </w:tbl>
    <w:p>
      <w:pPr>
        <w:spacing w:after="80"/>
      </w:pPr>
    </w:p>
    <w:p>
      <w:pPr>
        <w:pStyle w:val="Heading1"/>
      </w:pPr>
      <w:r>
        <w:t>10. Rollout Roadmap</w:t>
      </w:r>
    </w:p>
    <w:tbl>
      <w:tblPr>
        <w:tblStyle w:val="TableGrid"/>
        <w:tblW w:type="dxa" w:w="9360"/>
        <w:jc w:val="left"/>
        <w:tblLayout w:type="fixed"/>
        <w:tblLook w:firstColumn="1" w:firstRow="1" w:lastColumn="0" w:lastRow="0" w:noHBand="0" w:noVBand="1" w:val="04A0"/>
        <w:tblInd w:w="120" w:type="dxa"/>
      </w:tblPr>
      <w:tblGrid>
        <w:gridCol w:w="1500"/>
        <w:gridCol w:w="1500"/>
        <w:gridCol w:w="3900"/>
        <w:gridCol w:w="2460"/>
      </w:tblGrid>
      <w:tr>
        <w:tc>
          <w:tcPr>
            <w:tcW w:type="dxa" w:w="1500"/>
            <w:tcMar>
              <w:top w:w="90" w:type="dxa"/>
              <w:start w:w="120" w:type="dxa"/>
              <w:bottom w:w="90" w:type="dxa"/>
              <w:end w:w="120" w:type="dxa"/>
            </w:tcMar>
            <w:vAlign w:val="center"/>
            <w:shd w:fill="F2F4F7"/>
          </w:tcPr>
          <w:p>
            <w:pPr>
              <w:jc w:val="left"/>
            </w:pPr>
            <w:r>
              <w:rPr>
                <w:rFonts w:ascii="Calibri" w:hAnsi="Calibri"/>
                <w:b/>
                <w:color w:val="0B2545"/>
                <w:sz w:val="20"/>
              </w:rPr>
              <w:t>Phase</w:t>
            </w:r>
          </w:p>
        </w:tc>
        <w:tc>
          <w:tcPr>
            <w:tcW w:type="dxa" w:w="1500"/>
            <w:tcMar>
              <w:top w:w="90" w:type="dxa"/>
              <w:start w:w="120" w:type="dxa"/>
              <w:bottom w:w="90" w:type="dxa"/>
              <w:end w:w="120" w:type="dxa"/>
            </w:tcMar>
            <w:vAlign w:val="center"/>
            <w:shd w:fill="F2F4F7"/>
          </w:tcPr>
          <w:p>
            <w:pPr>
              <w:jc w:val="center"/>
            </w:pPr>
            <w:r>
              <w:rPr>
                <w:rFonts w:ascii="Calibri" w:hAnsi="Calibri"/>
                <w:b/>
                <w:color w:val="0B2545"/>
                <w:sz w:val="20"/>
              </w:rPr>
              <w:t>Duration</w:t>
            </w:r>
          </w:p>
        </w:tc>
        <w:tc>
          <w:tcPr>
            <w:tcW w:type="dxa" w:w="3900"/>
            <w:tcMar>
              <w:top w:w="90" w:type="dxa"/>
              <w:start w:w="120" w:type="dxa"/>
              <w:bottom w:w="90" w:type="dxa"/>
              <w:end w:w="120" w:type="dxa"/>
            </w:tcMar>
            <w:vAlign w:val="center"/>
            <w:shd w:fill="F2F4F7"/>
          </w:tcPr>
          <w:p>
            <w:pPr>
              <w:jc w:val="center"/>
            </w:pPr>
            <w:r>
              <w:rPr>
                <w:rFonts w:ascii="Calibri" w:hAnsi="Calibri"/>
                <w:b/>
                <w:color w:val="0B2545"/>
                <w:sz w:val="20"/>
              </w:rPr>
              <w:t>Scope</w:t>
            </w:r>
          </w:p>
        </w:tc>
        <w:tc>
          <w:tcPr>
            <w:tcW w:type="dxa" w:w="2460"/>
            <w:tcMar>
              <w:top w:w="90" w:type="dxa"/>
              <w:start w:w="120" w:type="dxa"/>
              <w:bottom w:w="90" w:type="dxa"/>
              <w:end w:w="120" w:type="dxa"/>
            </w:tcMar>
            <w:vAlign w:val="center"/>
            <w:shd w:fill="F2F4F7"/>
          </w:tcPr>
          <w:p>
            <w:pPr>
              <w:jc w:val="center"/>
            </w:pPr>
            <w:r>
              <w:rPr>
                <w:rFonts w:ascii="Calibri" w:hAnsi="Calibri"/>
                <w:b/>
                <w:color w:val="0B2545"/>
                <w:sz w:val="20"/>
              </w:rPr>
              <w:t>Exit criteria</w:t>
            </w:r>
          </w:p>
        </w:tc>
      </w:tr>
      <w:tr>
        <w:tc>
          <w:tcPr>
            <w:tcW w:type="dxa" w:w="1500"/>
            <w:tcMar>
              <w:top w:w="90" w:type="dxa"/>
              <w:start w:w="120" w:type="dxa"/>
              <w:bottom w:w="90" w:type="dxa"/>
              <w:end w:w="120" w:type="dxa"/>
            </w:tcMar>
            <w:vAlign w:val="center"/>
          </w:tcPr>
          <w:p>
            <w:pPr>
              <w:spacing w:after="0"/>
              <w:jc w:val="left"/>
            </w:pPr>
            <w:r>
              <w:rPr>
                <w:rFonts w:ascii="Calibri" w:hAnsi="Calibri"/>
                <w:color w:val="0B2545"/>
                <w:sz w:val="19"/>
              </w:rPr>
              <w:t>Discovery and data audit</w:t>
            </w:r>
          </w:p>
        </w:tc>
        <w:tc>
          <w:tcPr>
            <w:tcW w:type="dxa" w:w="1500"/>
            <w:tcMar>
              <w:top w:w="90" w:type="dxa"/>
              <w:start w:w="120" w:type="dxa"/>
              <w:bottom w:w="90" w:type="dxa"/>
              <w:end w:w="120" w:type="dxa"/>
            </w:tcMar>
            <w:vAlign w:val="center"/>
          </w:tcPr>
          <w:p>
            <w:pPr>
              <w:spacing w:after="0"/>
              <w:jc w:val="left"/>
            </w:pPr>
            <w:r>
              <w:rPr>
                <w:rFonts w:ascii="Calibri" w:hAnsi="Calibri"/>
                <w:color w:val="0B2545"/>
                <w:sz w:val="19"/>
              </w:rPr>
              <w:t>4-6 weeks</w:t>
            </w:r>
          </w:p>
        </w:tc>
        <w:tc>
          <w:tcPr>
            <w:tcW w:type="dxa" w:w="3900"/>
            <w:tcMar>
              <w:top w:w="90" w:type="dxa"/>
              <w:start w:w="120" w:type="dxa"/>
              <w:bottom w:w="90" w:type="dxa"/>
              <w:end w:w="120" w:type="dxa"/>
            </w:tcMar>
            <w:vAlign w:val="center"/>
          </w:tcPr>
          <w:p>
            <w:pPr>
              <w:spacing w:after="0"/>
              <w:jc w:val="center"/>
            </w:pPr>
            <w:r>
              <w:rPr>
                <w:rFonts w:ascii="Calibri" w:hAnsi="Calibri"/>
                <w:color w:val="0B2545"/>
                <w:sz w:val="19"/>
              </w:rPr>
              <w:t>Map source systems, customer segments, high-value workflows, sustainability factors, and reporting needs.</w:t>
            </w:r>
          </w:p>
        </w:tc>
        <w:tc>
          <w:tcPr>
            <w:tcW w:type="dxa" w:w="2460"/>
            <w:tcMar>
              <w:top w:w="90" w:type="dxa"/>
              <w:start w:w="120" w:type="dxa"/>
              <w:bottom w:w="90" w:type="dxa"/>
              <w:end w:w="120" w:type="dxa"/>
            </w:tcMar>
            <w:vAlign w:val="center"/>
          </w:tcPr>
          <w:p>
            <w:pPr>
              <w:spacing w:after="0"/>
              <w:jc w:val="center"/>
            </w:pPr>
            <w:r>
              <w:rPr>
                <w:rFonts w:ascii="Calibri" w:hAnsi="Calibri"/>
                <w:color w:val="0B2545"/>
                <w:sz w:val="19"/>
              </w:rPr>
              <w:t>Data inventory, MVP region, pilot accounts, and calculation methodology selected</w:t>
            </w:r>
          </w:p>
        </w:tc>
      </w:tr>
      <w:tr>
        <w:tc>
          <w:tcPr>
            <w:tcW w:type="dxa" w:w="1500"/>
            <w:tcMar>
              <w:top w:w="90" w:type="dxa"/>
              <w:start w:w="120" w:type="dxa"/>
              <w:bottom w:w="90" w:type="dxa"/>
              <w:end w:w="120" w:type="dxa"/>
            </w:tcMar>
            <w:vAlign w:val="center"/>
          </w:tcPr>
          <w:p>
            <w:pPr>
              <w:spacing w:after="0"/>
              <w:jc w:val="left"/>
            </w:pPr>
            <w:r>
              <w:rPr>
                <w:rFonts w:ascii="Calibri" w:hAnsi="Calibri"/>
                <w:color w:val="0B2545"/>
                <w:sz w:val="19"/>
              </w:rPr>
              <w:t>MVP build</w:t>
            </w:r>
          </w:p>
        </w:tc>
        <w:tc>
          <w:tcPr>
            <w:tcW w:type="dxa" w:w="1500"/>
            <w:tcMar>
              <w:top w:w="90" w:type="dxa"/>
              <w:start w:w="120" w:type="dxa"/>
              <w:bottom w:w="90" w:type="dxa"/>
              <w:end w:w="120" w:type="dxa"/>
            </w:tcMar>
            <w:vAlign w:val="center"/>
          </w:tcPr>
          <w:p>
            <w:pPr>
              <w:spacing w:after="0"/>
              <w:jc w:val="left"/>
            </w:pPr>
            <w:r>
              <w:rPr>
                <w:rFonts w:ascii="Calibri" w:hAnsi="Calibri"/>
                <w:color w:val="0B2545"/>
                <w:sz w:val="19"/>
              </w:rPr>
              <w:t>10-14 weeks</w:t>
            </w:r>
          </w:p>
        </w:tc>
        <w:tc>
          <w:tcPr>
            <w:tcW w:type="dxa" w:w="3900"/>
            <w:tcMar>
              <w:top w:w="90" w:type="dxa"/>
              <w:start w:w="120" w:type="dxa"/>
              <w:bottom w:w="90" w:type="dxa"/>
              <w:end w:w="120" w:type="dxa"/>
            </w:tcMar>
            <w:vAlign w:val="center"/>
          </w:tcPr>
          <w:p>
            <w:pPr>
              <w:spacing w:after="0"/>
              <w:jc w:val="center"/>
            </w:pPr>
            <w:r>
              <w:rPr>
                <w:rFonts w:ascii="Calibri" w:hAnsi="Calibri"/>
                <w:color w:val="0B2545"/>
                <w:sz w:val="19"/>
              </w:rPr>
              <w:t>Customer dashboard, event ledger, exports, service recommendations, and internal account view.</w:t>
            </w:r>
          </w:p>
        </w:tc>
        <w:tc>
          <w:tcPr>
            <w:tcW w:type="dxa" w:w="2460"/>
            <w:tcMar>
              <w:top w:w="90" w:type="dxa"/>
              <w:start w:w="120" w:type="dxa"/>
              <w:bottom w:w="90" w:type="dxa"/>
              <w:end w:w="120" w:type="dxa"/>
            </w:tcMar>
            <w:vAlign w:val="center"/>
          </w:tcPr>
          <w:p>
            <w:pPr>
              <w:spacing w:after="0"/>
              <w:jc w:val="center"/>
            </w:pPr>
            <w:r>
              <w:rPr>
                <w:rFonts w:ascii="Calibri" w:hAnsi="Calibri"/>
                <w:color w:val="0B2545"/>
                <w:sz w:val="19"/>
              </w:rPr>
              <w:t>20-50 pilot accounts live with monthly reports</w:t>
            </w:r>
          </w:p>
        </w:tc>
      </w:tr>
      <w:tr>
        <w:tc>
          <w:tcPr>
            <w:tcW w:type="dxa" w:w="1500"/>
            <w:tcMar>
              <w:top w:w="90" w:type="dxa"/>
              <w:start w:w="120" w:type="dxa"/>
              <w:bottom w:w="90" w:type="dxa"/>
              <w:end w:w="120" w:type="dxa"/>
            </w:tcMar>
            <w:vAlign w:val="center"/>
          </w:tcPr>
          <w:p>
            <w:pPr>
              <w:spacing w:after="0"/>
              <w:jc w:val="left"/>
            </w:pPr>
            <w:r>
              <w:rPr>
                <w:rFonts w:ascii="Calibri" w:hAnsi="Calibri"/>
                <w:color w:val="0B2545"/>
                <w:sz w:val="19"/>
              </w:rPr>
              <w:t>Pilot expansion</w:t>
            </w:r>
          </w:p>
        </w:tc>
        <w:tc>
          <w:tcPr>
            <w:tcW w:type="dxa" w:w="1500"/>
            <w:tcMar>
              <w:top w:w="90" w:type="dxa"/>
              <w:start w:w="120" w:type="dxa"/>
              <w:bottom w:w="90" w:type="dxa"/>
              <w:end w:w="120" w:type="dxa"/>
            </w:tcMar>
            <w:vAlign w:val="center"/>
          </w:tcPr>
          <w:p>
            <w:pPr>
              <w:spacing w:after="0"/>
              <w:jc w:val="left"/>
            </w:pPr>
            <w:r>
              <w:rPr>
                <w:rFonts w:ascii="Calibri" w:hAnsi="Calibri"/>
                <w:color w:val="0B2545"/>
                <w:sz w:val="19"/>
              </w:rPr>
              <w:t>8-12 weeks</w:t>
            </w:r>
          </w:p>
        </w:tc>
        <w:tc>
          <w:tcPr>
            <w:tcW w:type="dxa" w:w="3900"/>
            <w:tcMar>
              <w:top w:w="90" w:type="dxa"/>
              <w:start w:w="120" w:type="dxa"/>
              <w:bottom w:w="90" w:type="dxa"/>
              <w:end w:w="120" w:type="dxa"/>
            </w:tcMar>
            <w:vAlign w:val="center"/>
          </w:tcPr>
          <w:p>
            <w:pPr>
              <w:spacing w:after="0"/>
              <w:jc w:val="center"/>
            </w:pPr>
            <w:r>
              <w:rPr>
                <w:rFonts w:ascii="Calibri" w:hAnsi="Calibri"/>
                <w:color w:val="0B2545"/>
                <w:sz w:val="19"/>
              </w:rPr>
              <w:t>Add compactor telemetry, photo diagnostics, sales demo mode, and account-manager workflows.</w:t>
            </w:r>
          </w:p>
        </w:tc>
        <w:tc>
          <w:tcPr>
            <w:tcW w:type="dxa" w:w="2460"/>
            <w:tcMar>
              <w:top w:w="90" w:type="dxa"/>
              <w:start w:w="120" w:type="dxa"/>
              <w:bottom w:w="90" w:type="dxa"/>
              <w:end w:w="120" w:type="dxa"/>
            </w:tcMar>
            <w:vAlign w:val="center"/>
          </w:tcPr>
          <w:p>
            <w:pPr>
              <w:spacing w:after="0"/>
              <w:jc w:val="center"/>
            </w:pPr>
            <w:r>
              <w:rPr>
                <w:rFonts w:ascii="Calibri" w:hAnsi="Calibri"/>
                <w:color w:val="0B2545"/>
                <w:sz w:val="19"/>
              </w:rPr>
              <w:t>Measured reduction in reporting effort and at least one operational savings lever proven</w:t>
            </w:r>
          </w:p>
        </w:tc>
      </w:tr>
      <w:tr>
        <w:tc>
          <w:tcPr>
            <w:tcW w:type="dxa" w:w="1500"/>
            <w:tcMar>
              <w:top w:w="90" w:type="dxa"/>
              <w:start w:w="120" w:type="dxa"/>
              <w:bottom w:w="90" w:type="dxa"/>
              <w:end w:w="120" w:type="dxa"/>
            </w:tcMar>
            <w:vAlign w:val="center"/>
          </w:tcPr>
          <w:p>
            <w:pPr>
              <w:spacing w:after="0"/>
              <w:jc w:val="left"/>
            </w:pPr>
            <w:r>
              <w:rPr>
                <w:rFonts w:ascii="Calibri" w:hAnsi="Calibri"/>
                <w:color w:val="0B2545"/>
                <w:sz w:val="19"/>
              </w:rPr>
              <w:t>Scale product</w:t>
            </w:r>
          </w:p>
        </w:tc>
        <w:tc>
          <w:tcPr>
            <w:tcW w:type="dxa" w:w="1500"/>
            <w:tcMar>
              <w:top w:w="90" w:type="dxa"/>
              <w:start w:w="120" w:type="dxa"/>
              <w:bottom w:w="90" w:type="dxa"/>
              <w:end w:w="120" w:type="dxa"/>
            </w:tcMar>
            <w:vAlign w:val="center"/>
          </w:tcPr>
          <w:p>
            <w:pPr>
              <w:spacing w:after="0"/>
              <w:jc w:val="left"/>
            </w:pPr>
            <w:r>
              <w:rPr>
                <w:rFonts w:ascii="Calibri" w:hAnsi="Calibri"/>
                <w:color w:val="0B2545"/>
                <w:sz w:val="19"/>
              </w:rPr>
              <w:t>6-9 months</w:t>
            </w:r>
          </w:p>
        </w:tc>
        <w:tc>
          <w:tcPr>
            <w:tcW w:type="dxa" w:w="3900"/>
            <w:tcMar>
              <w:top w:w="90" w:type="dxa"/>
              <w:start w:w="120" w:type="dxa"/>
              <w:bottom w:w="90" w:type="dxa"/>
              <w:end w:w="120" w:type="dxa"/>
            </w:tcMar>
            <w:vAlign w:val="center"/>
          </w:tcPr>
          <w:p>
            <w:pPr>
              <w:spacing w:after="0"/>
              <w:jc w:val="center"/>
            </w:pPr>
            <w:r>
              <w:rPr>
                <w:rFonts w:ascii="Calibri" w:hAnsi="Calibri"/>
                <w:color w:val="0B2545"/>
                <w:sz w:val="19"/>
              </w:rPr>
              <w:t>Broaden regions, add rail optimization, special-waste workflows, APIs, and premium tiers.</w:t>
            </w:r>
          </w:p>
        </w:tc>
        <w:tc>
          <w:tcPr>
            <w:tcW w:type="dxa" w:w="2460"/>
            <w:tcMar>
              <w:top w:w="90" w:type="dxa"/>
              <w:start w:w="120" w:type="dxa"/>
              <w:bottom w:w="90" w:type="dxa"/>
              <w:end w:w="120" w:type="dxa"/>
            </w:tcMar>
            <w:vAlign w:val="center"/>
          </w:tcPr>
          <w:p>
            <w:pPr>
              <w:spacing w:after="0"/>
              <w:jc w:val="center"/>
            </w:pPr>
            <w:r>
              <w:rPr>
                <w:rFonts w:ascii="Calibri" w:hAnsi="Calibri"/>
                <w:color w:val="0B2545"/>
                <w:sz w:val="19"/>
              </w:rPr>
              <w:t>Repeatable revenue packaging and operational adoption across regions</w:t>
            </w:r>
          </w:p>
        </w:tc>
      </w:tr>
    </w:tbl>
    <w:p>
      <w:pPr>
        <w:spacing w:after="80"/>
      </w:pPr>
    </w:p>
    <w:p>
      <w:pPr>
        <w:pStyle w:val="Heading1"/>
      </w:pPr>
      <w:r>
        <w:t>11. Risk Register</w:t>
      </w:r>
    </w:p>
    <w:tbl>
      <w:tblPr>
        <w:tblStyle w:val="TableGrid"/>
        <w:tblW w:type="dxa" w:w="9360"/>
        <w:jc w:val="left"/>
        <w:tblLayout w:type="fixed"/>
        <w:tblLook w:firstColumn="1" w:firstRow="1" w:lastColumn="0" w:lastRow="0" w:noHBand="0" w:noVBand="1" w:val="04A0"/>
        <w:tblInd w:w="120" w:type="dxa"/>
      </w:tblPr>
      <w:tblGrid>
        <w:gridCol w:w="1900"/>
        <w:gridCol w:w="3500"/>
        <w:gridCol w:w="3960"/>
      </w:tblGrid>
      <w:tr>
        <w:tc>
          <w:tcPr>
            <w:tcW w:type="dxa" w:w="1900"/>
            <w:tcMar>
              <w:top w:w="90" w:type="dxa"/>
              <w:start w:w="120" w:type="dxa"/>
              <w:bottom w:w="90" w:type="dxa"/>
              <w:end w:w="120" w:type="dxa"/>
            </w:tcMar>
            <w:vAlign w:val="center"/>
            <w:shd w:fill="F2F4F7"/>
          </w:tcPr>
          <w:p>
            <w:pPr>
              <w:jc w:val="left"/>
            </w:pPr>
            <w:r>
              <w:rPr>
                <w:rFonts w:ascii="Calibri" w:hAnsi="Calibri"/>
                <w:b/>
                <w:color w:val="0B2545"/>
                <w:sz w:val="20"/>
              </w:rPr>
              <w:t>Risk</w:t>
            </w:r>
          </w:p>
        </w:tc>
        <w:tc>
          <w:tcPr>
            <w:tcW w:type="dxa" w:w="3500"/>
            <w:tcMar>
              <w:top w:w="90" w:type="dxa"/>
              <w:start w:w="120" w:type="dxa"/>
              <w:bottom w:w="90" w:type="dxa"/>
              <w:end w:w="120" w:type="dxa"/>
            </w:tcMar>
            <w:vAlign w:val="center"/>
            <w:shd w:fill="F2F4F7"/>
          </w:tcPr>
          <w:p>
            <w:pPr>
              <w:jc w:val="center"/>
            </w:pPr>
            <w:r>
              <w:rPr>
                <w:rFonts w:ascii="Calibri" w:hAnsi="Calibri"/>
                <w:b/>
                <w:color w:val="0B2545"/>
                <w:sz w:val="20"/>
              </w:rPr>
              <w:t>Why it matters</w:t>
            </w:r>
          </w:p>
        </w:tc>
        <w:tc>
          <w:tcPr>
            <w:tcW w:type="dxa" w:w="3960"/>
            <w:tcMar>
              <w:top w:w="90" w:type="dxa"/>
              <w:start w:w="120" w:type="dxa"/>
              <w:bottom w:w="90" w:type="dxa"/>
              <w:end w:w="120" w:type="dxa"/>
            </w:tcMar>
            <w:vAlign w:val="center"/>
            <w:shd w:fill="F2F4F7"/>
          </w:tcPr>
          <w:p>
            <w:pPr>
              <w:jc w:val="center"/>
            </w:pPr>
            <w:r>
              <w:rPr>
                <w:rFonts w:ascii="Calibri" w:hAnsi="Calibri"/>
                <w:b/>
                <w:color w:val="0B2545"/>
                <w:sz w:val="20"/>
              </w:rPr>
              <w:t>Mitigation</w:t>
            </w:r>
          </w:p>
        </w:tc>
      </w:tr>
      <w:tr>
        <w:tc>
          <w:tcPr>
            <w:tcW w:type="dxa" w:w="1900"/>
            <w:tcMar>
              <w:top w:w="90" w:type="dxa"/>
              <w:start w:w="120" w:type="dxa"/>
              <w:bottom w:w="90" w:type="dxa"/>
              <w:end w:w="120" w:type="dxa"/>
            </w:tcMar>
            <w:vAlign w:val="center"/>
          </w:tcPr>
          <w:p>
            <w:pPr>
              <w:spacing w:after="0"/>
              <w:jc w:val="left"/>
            </w:pPr>
            <w:r>
              <w:rPr>
                <w:rFonts w:ascii="Calibri" w:hAnsi="Calibri"/>
                <w:color w:val="0B2545"/>
                <w:sz w:val="19"/>
              </w:rPr>
              <w:t>Calculation trust</w:t>
            </w:r>
          </w:p>
        </w:tc>
        <w:tc>
          <w:tcPr>
            <w:tcW w:type="dxa" w:w="3500"/>
            <w:tcMar>
              <w:top w:w="90" w:type="dxa"/>
              <w:start w:w="120" w:type="dxa"/>
              <w:bottom w:w="90" w:type="dxa"/>
              <w:end w:w="120" w:type="dxa"/>
            </w:tcMar>
            <w:vAlign w:val="center"/>
          </w:tcPr>
          <w:p>
            <w:pPr>
              <w:spacing w:after="0"/>
              <w:jc w:val="left"/>
            </w:pPr>
            <w:r>
              <w:rPr>
                <w:rFonts w:ascii="Calibri" w:hAnsi="Calibri"/>
                <w:color w:val="0B2545"/>
                <w:sz w:val="19"/>
              </w:rPr>
              <w:t>Customers may rely on reports for ESG or procurement claims.</w:t>
            </w:r>
          </w:p>
        </w:tc>
        <w:tc>
          <w:tcPr>
            <w:tcW w:type="dxa" w:w="3960"/>
            <w:tcMar>
              <w:top w:w="90" w:type="dxa"/>
              <w:start w:w="120" w:type="dxa"/>
              <w:bottom w:w="90" w:type="dxa"/>
              <w:end w:w="120" w:type="dxa"/>
            </w:tcMar>
            <w:vAlign w:val="center"/>
          </w:tcPr>
          <w:p>
            <w:pPr>
              <w:spacing w:after="0"/>
              <w:jc w:val="center"/>
            </w:pPr>
            <w:r>
              <w:rPr>
                <w:rFonts w:ascii="Calibri" w:hAnsi="Calibri"/>
                <w:color w:val="0B2545"/>
                <w:sz w:val="19"/>
              </w:rPr>
              <w:t>Version calculation factors, show assumptions, keep audit trails, and distinguish measured vs. estimated values.</w:t>
            </w:r>
          </w:p>
        </w:tc>
      </w:tr>
      <w:tr>
        <w:tc>
          <w:tcPr>
            <w:tcW w:type="dxa" w:w="1900"/>
            <w:tcMar>
              <w:top w:w="90" w:type="dxa"/>
              <w:start w:w="120" w:type="dxa"/>
              <w:bottom w:w="90" w:type="dxa"/>
              <w:end w:w="120" w:type="dxa"/>
            </w:tcMar>
            <w:vAlign w:val="center"/>
          </w:tcPr>
          <w:p>
            <w:pPr>
              <w:spacing w:after="0"/>
              <w:jc w:val="left"/>
            </w:pPr>
            <w:r>
              <w:rPr>
                <w:rFonts w:ascii="Calibri" w:hAnsi="Calibri"/>
                <w:color w:val="0B2545"/>
                <w:sz w:val="19"/>
              </w:rPr>
              <w:t>Data fragmentation</w:t>
            </w:r>
          </w:p>
        </w:tc>
        <w:tc>
          <w:tcPr>
            <w:tcW w:type="dxa" w:w="3500"/>
            <w:tcMar>
              <w:top w:w="90" w:type="dxa"/>
              <w:start w:w="120" w:type="dxa"/>
              <w:bottom w:w="90" w:type="dxa"/>
              <w:end w:w="120" w:type="dxa"/>
            </w:tcMar>
            <w:vAlign w:val="center"/>
          </w:tcPr>
          <w:p>
            <w:pPr>
              <w:spacing w:after="0"/>
              <w:jc w:val="left"/>
            </w:pPr>
            <w:r>
              <w:rPr>
                <w:rFonts w:ascii="Calibri" w:hAnsi="Calibri"/>
                <w:color w:val="0B2545"/>
                <w:sz w:val="19"/>
              </w:rPr>
              <w:t>Route, scale, facility, rail, and billing systems may not align cleanly.</w:t>
            </w:r>
          </w:p>
        </w:tc>
        <w:tc>
          <w:tcPr>
            <w:tcW w:type="dxa" w:w="3960"/>
            <w:tcMar>
              <w:top w:w="90" w:type="dxa"/>
              <w:start w:w="120" w:type="dxa"/>
              <w:bottom w:w="90" w:type="dxa"/>
              <w:end w:w="120" w:type="dxa"/>
            </w:tcMar>
            <w:vAlign w:val="center"/>
          </w:tcPr>
          <w:p>
            <w:pPr>
              <w:spacing w:after="0"/>
              <w:jc w:val="center"/>
            </w:pPr>
            <w:r>
              <w:rPr>
                <w:rFonts w:ascii="Calibri" w:hAnsi="Calibri"/>
                <w:color w:val="0B2545"/>
                <w:sz w:val="19"/>
              </w:rPr>
              <w:t>Start with a canonical material event ledger and pilot only where source data quality is sufficient.</w:t>
            </w:r>
          </w:p>
        </w:tc>
      </w:tr>
      <w:tr>
        <w:tc>
          <w:tcPr>
            <w:tcW w:type="dxa" w:w="1900"/>
            <w:tcMar>
              <w:top w:w="90" w:type="dxa"/>
              <w:start w:w="120" w:type="dxa"/>
              <w:bottom w:w="90" w:type="dxa"/>
              <w:end w:w="120" w:type="dxa"/>
            </w:tcMar>
            <w:vAlign w:val="center"/>
          </w:tcPr>
          <w:p>
            <w:pPr>
              <w:spacing w:after="0"/>
              <w:jc w:val="left"/>
            </w:pPr>
            <w:r>
              <w:rPr>
                <w:rFonts w:ascii="Calibri" w:hAnsi="Calibri"/>
                <w:color w:val="0B2545"/>
                <w:sz w:val="19"/>
              </w:rPr>
              <w:t>Operational adoption</w:t>
            </w:r>
          </w:p>
        </w:tc>
        <w:tc>
          <w:tcPr>
            <w:tcW w:type="dxa" w:w="3500"/>
            <w:tcMar>
              <w:top w:w="90" w:type="dxa"/>
              <w:start w:w="120" w:type="dxa"/>
              <w:bottom w:w="90" w:type="dxa"/>
              <w:end w:w="120" w:type="dxa"/>
            </w:tcMar>
            <w:vAlign w:val="center"/>
          </w:tcPr>
          <w:p>
            <w:pPr>
              <w:spacing w:after="0"/>
              <w:jc w:val="left"/>
            </w:pPr>
            <w:r>
              <w:rPr>
                <w:rFonts w:ascii="Calibri" w:hAnsi="Calibri"/>
                <w:color w:val="0B2545"/>
                <w:sz w:val="19"/>
              </w:rPr>
              <w:t>Dispatch and facility teams may resist another dashboard.</w:t>
            </w:r>
          </w:p>
        </w:tc>
        <w:tc>
          <w:tcPr>
            <w:tcW w:type="dxa" w:w="3960"/>
            <w:tcMar>
              <w:top w:w="90" w:type="dxa"/>
              <w:start w:w="120" w:type="dxa"/>
              <w:bottom w:w="90" w:type="dxa"/>
              <w:end w:w="120" w:type="dxa"/>
            </w:tcMar>
            <w:vAlign w:val="center"/>
          </w:tcPr>
          <w:p>
            <w:pPr>
              <w:spacing w:after="0"/>
              <w:jc w:val="center"/>
            </w:pPr>
            <w:r>
              <w:rPr>
                <w:rFonts w:ascii="Calibri" w:hAnsi="Calibri"/>
                <w:color w:val="0B2545"/>
                <w:sz w:val="19"/>
              </w:rPr>
              <w:t>Make recommendations advisory at first and integrate into existing workflows instead of forcing a new daily system.</w:t>
            </w:r>
          </w:p>
        </w:tc>
      </w:tr>
      <w:tr>
        <w:tc>
          <w:tcPr>
            <w:tcW w:type="dxa" w:w="1900"/>
            <w:tcMar>
              <w:top w:w="90" w:type="dxa"/>
              <w:start w:w="120" w:type="dxa"/>
              <w:bottom w:w="90" w:type="dxa"/>
              <w:end w:w="120" w:type="dxa"/>
            </w:tcMar>
            <w:vAlign w:val="center"/>
          </w:tcPr>
          <w:p>
            <w:pPr>
              <w:spacing w:after="0"/>
              <w:jc w:val="left"/>
            </w:pPr>
            <w:r>
              <w:rPr>
                <w:rFonts w:ascii="Calibri" w:hAnsi="Calibri"/>
                <w:color w:val="0B2545"/>
                <w:sz w:val="19"/>
              </w:rPr>
              <w:t>Sensor economics</w:t>
            </w:r>
          </w:p>
        </w:tc>
        <w:tc>
          <w:tcPr>
            <w:tcW w:type="dxa" w:w="3500"/>
            <w:tcMar>
              <w:top w:w="90" w:type="dxa"/>
              <w:start w:w="120" w:type="dxa"/>
              <w:bottom w:w="90" w:type="dxa"/>
              <w:end w:w="120" w:type="dxa"/>
            </w:tcMar>
            <w:vAlign w:val="center"/>
          </w:tcPr>
          <w:p>
            <w:pPr>
              <w:spacing w:after="0"/>
              <w:jc w:val="left"/>
            </w:pPr>
            <w:r>
              <w:rPr>
                <w:rFonts w:ascii="Calibri" w:hAnsi="Calibri"/>
                <w:color w:val="0B2545"/>
                <w:sz w:val="19"/>
              </w:rPr>
              <w:t>IoT everywhere can be expensive and slow.</w:t>
            </w:r>
          </w:p>
        </w:tc>
        <w:tc>
          <w:tcPr>
            <w:tcW w:type="dxa" w:w="3960"/>
            <w:tcMar>
              <w:top w:w="90" w:type="dxa"/>
              <w:start w:w="120" w:type="dxa"/>
              <w:bottom w:w="90" w:type="dxa"/>
              <w:end w:w="120" w:type="dxa"/>
            </w:tcMar>
            <w:vAlign w:val="center"/>
          </w:tcPr>
          <w:p>
            <w:pPr>
              <w:spacing w:after="0"/>
              <w:jc w:val="center"/>
            </w:pPr>
            <w:r>
              <w:rPr>
                <w:rFonts w:ascii="Calibri" w:hAnsi="Calibri"/>
                <w:color w:val="0B2545"/>
                <w:sz w:val="19"/>
              </w:rPr>
              <w:t>Instrument only high-volume compactors and problematic sites first; use existing tickets for the first MVP.</w:t>
            </w:r>
          </w:p>
        </w:tc>
      </w:tr>
      <w:tr>
        <w:tc>
          <w:tcPr>
            <w:tcW w:type="dxa" w:w="1900"/>
            <w:tcMar>
              <w:top w:w="90" w:type="dxa"/>
              <w:start w:w="120" w:type="dxa"/>
              <w:bottom w:w="90" w:type="dxa"/>
              <w:end w:w="120" w:type="dxa"/>
            </w:tcMar>
            <w:vAlign w:val="center"/>
          </w:tcPr>
          <w:p>
            <w:pPr>
              <w:spacing w:after="0"/>
              <w:jc w:val="left"/>
            </w:pPr>
            <w:r>
              <w:rPr>
                <w:rFonts w:ascii="Calibri" w:hAnsi="Calibri"/>
                <w:color w:val="0B2545"/>
                <w:sz w:val="19"/>
              </w:rPr>
              <w:t>Customer sensitivity</w:t>
            </w:r>
          </w:p>
        </w:tc>
        <w:tc>
          <w:tcPr>
            <w:tcW w:type="dxa" w:w="3500"/>
            <w:tcMar>
              <w:top w:w="90" w:type="dxa"/>
              <w:start w:w="120" w:type="dxa"/>
              <w:bottom w:w="90" w:type="dxa"/>
              <w:end w:w="120" w:type="dxa"/>
            </w:tcMar>
            <w:vAlign w:val="center"/>
          </w:tcPr>
          <w:p>
            <w:pPr>
              <w:spacing w:after="0"/>
              <w:jc w:val="left"/>
            </w:pPr>
            <w:r>
              <w:rPr>
                <w:rFonts w:ascii="Calibri" w:hAnsi="Calibri"/>
                <w:color w:val="0B2545"/>
                <w:sz w:val="19"/>
              </w:rPr>
              <w:t>Some accounts may not want contamination or disposal problems exposed.</w:t>
            </w:r>
          </w:p>
        </w:tc>
        <w:tc>
          <w:tcPr>
            <w:tcW w:type="dxa" w:w="3960"/>
            <w:tcMar>
              <w:top w:w="90" w:type="dxa"/>
              <w:start w:w="120" w:type="dxa"/>
              <w:bottom w:w="90" w:type="dxa"/>
              <w:end w:w="120" w:type="dxa"/>
            </w:tcMar>
            <w:vAlign w:val="center"/>
          </w:tcPr>
          <w:p>
            <w:pPr>
              <w:spacing w:after="0"/>
              <w:jc w:val="center"/>
            </w:pPr>
            <w:r>
              <w:rPr>
                <w:rFonts w:ascii="Calibri" w:hAnsi="Calibri"/>
                <w:color w:val="0B2545"/>
                <w:sz w:val="19"/>
              </w:rPr>
              <w:t>Frame diagnostics as savings and improvement opportunities; allow account-manager review before customer release.</w:t>
            </w:r>
          </w:p>
        </w:tc>
      </w:tr>
      <w:tr>
        <w:tc>
          <w:tcPr>
            <w:tcW w:type="dxa" w:w="1900"/>
            <w:tcMar>
              <w:top w:w="90" w:type="dxa"/>
              <w:start w:w="120" w:type="dxa"/>
              <w:bottom w:w="90" w:type="dxa"/>
              <w:end w:w="120" w:type="dxa"/>
            </w:tcMar>
            <w:vAlign w:val="center"/>
          </w:tcPr>
          <w:p>
            <w:pPr>
              <w:spacing w:after="0"/>
              <w:jc w:val="left"/>
            </w:pPr>
            <w:r>
              <w:rPr>
                <w:rFonts w:ascii="Calibri" w:hAnsi="Calibri"/>
                <w:color w:val="0B2545"/>
                <w:sz w:val="19"/>
              </w:rPr>
              <w:t>Regulatory claims</w:t>
            </w:r>
          </w:p>
        </w:tc>
        <w:tc>
          <w:tcPr>
            <w:tcW w:type="dxa" w:w="3500"/>
            <w:tcMar>
              <w:top w:w="90" w:type="dxa"/>
              <w:start w:w="120" w:type="dxa"/>
              <w:bottom w:w="90" w:type="dxa"/>
              <w:end w:w="120" w:type="dxa"/>
            </w:tcMar>
            <w:vAlign w:val="center"/>
          </w:tcPr>
          <w:p>
            <w:pPr>
              <w:spacing w:after="0"/>
              <w:jc w:val="left"/>
            </w:pPr>
            <w:r>
              <w:rPr>
                <w:rFonts w:ascii="Calibri" w:hAnsi="Calibri"/>
                <w:color w:val="0B2545"/>
                <w:sz w:val="19"/>
              </w:rPr>
              <w:t>Sustainability outputs can create reputational risk if overstated.</w:t>
            </w:r>
          </w:p>
        </w:tc>
        <w:tc>
          <w:tcPr>
            <w:tcW w:type="dxa" w:w="3960"/>
            <w:tcMar>
              <w:top w:w="90" w:type="dxa"/>
              <w:start w:w="120" w:type="dxa"/>
              <w:bottom w:w="90" w:type="dxa"/>
              <w:end w:w="120" w:type="dxa"/>
            </w:tcMar>
            <w:vAlign w:val="center"/>
          </w:tcPr>
          <w:p>
            <w:pPr>
              <w:spacing w:after="0"/>
              <w:jc w:val="center"/>
            </w:pPr>
            <w:r>
              <w:rPr>
                <w:rFonts w:ascii="Calibri" w:hAnsi="Calibri"/>
                <w:color w:val="0B2545"/>
                <w:sz w:val="19"/>
              </w:rPr>
              <w:t>Use conservative language, source every factor, and route formal claims through approved templates.</w:t>
            </w:r>
          </w:p>
        </w:tc>
      </w:tr>
    </w:tbl>
    <w:p>
      <w:pPr>
        <w:spacing w:after="80"/>
      </w:pPr>
    </w:p>
    <w:p>
      <w:pPr>
        <w:pStyle w:val="Heading1"/>
      </w:pPr>
      <w:r>
        <w:t>12. Recommended Next Step</w:t>
      </w:r>
    </w:p>
    <w:p>
      <w:r>
        <w:t>Run a focused 30-day product discovery sprint with one regional operating team and 10-15 representative commercial accounts. The sprint should inventory available data, reconstruct each customer's prior three months of material flow, mock the dashboard and ESG export, and quantify two operational levers: haul optimization and compactor/right-sizing opportunity.</w:t>
      </w:r>
    </w:p>
    <w:tbl>
      <w:tblPr>
        <w:tblStyle w:val="TableGrid"/>
        <w:tblW w:type="dxa" w:w="9120"/>
        <w:jc w:val="left"/>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cMar>
            <w:vAlign w:val="center"/>
            <w:shd w:fill="F4F6F9"/>
          </w:tcPr>
          <w:p>
            <w:pPr>
              <w:spacing w:after="60"/>
            </w:pPr>
            <w:r>
              <w:rPr>
                <w:rFonts w:ascii="Calibri" w:hAnsi="Calibri"/>
                <w:b/>
                <w:color w:val="0B2545"/>
                <w:sz w:val="22"/>
              </w:rPr>
              <w:t>Decision point</w:t>
            </w:r>
          </w:p>
          <w:p>
            <w:pPr>
              <w:spacing w:after="0"/>
            </w:pPr>
            <w:r>
              <w:t>If the sprint can produce customer-ready reports from existing data for at least 70% of pilot accounts, proceed to MVP. If not, prioritize the material event ledger and source-system cleanup before adding advanced AI or IoT.</w:t>
            </w:r>
          </w:p>
        </w:tc>
      </w:tr>
    </w:tbl>
    <w:p>
      <w:pPr>
        <w:spacing w:after="80"/>
      </w:pPr>
    </w:p>
    <w:p>
      <w:pPr>
        <w:pStyle w:val="Heading1"/>
      </w:pPr>
      <w:r>
        <w:t>13. Source Notes</w:t>
      </w:r>
    </w:p>
    <w:p>
      <w:pPr>
        <w:pStyle w:val="ListBullet"/>
        <w:spacing w:after="60"/>
      </w:pPr>
      <w:r>
        <w:t xml:space="preserve">WIN Waste homepage: </w:t>
      </w:r>
      <w:hyperlink r:id="rId11">
        <w:r>
          <w:rPr>
            <w:color w:val="0563C1"/>
            <w:u w:val="single"/>
          </w:rPr>
          <w:t>https://www.win-waste.com/</w:t>
        </w:r>
      </w:hyperlink>
    </w:p>
    <w:p>
      <w:pPr>
        <w:pStyle w:val="ListBullet"/>
        <w:spacing w:after="60"/>
      </w:pPr>
      <w:r>
        <w:t xml:space="preserve">WIN Waste About Us: </w:t>
      </w:r>
      <w:hyperlink r:id="rId12">
        <w:r>
          <w:rPr>
            <w:color w:val="0563C1"/>
            <w:u w:val="single"/>
          </w:rPr>
          <w:t>https://www.win-waste.com/about-us/</w:t>
        </w:r>
      </w:hyperlink>
    </w:p>
    <w:p>
      <w:pPr>
        <w:pStyle w:val="ListBullet"/>
        <w:spacing w:after="60"/>
      </w:pPr>
      <w:r>
        <w:t xml:space="preserve">WIN Waste Green by Design: </w:t>
      </w:r>
      <w:hyperlink r:id="rId13">
        <w:r>
          <w:rPr>
            <w:color w:val="0563C1"/>
            <w:u w:val="single"/>
          </w:rPr>
          <w:t>https://www.win-waste.com/green-by-design/</w:t>
        </w:r>
      </w:hyperlink>
    </w:p>
    <w:p>
      <w:pPr>
        <w:pStyle w:val="ListBullet"/>
        <w:spacing w:after="60"/>
      </w:pPr>
      <w:r>
        <w:t xml:space="preserve">WIN Waste Waste-by-Rail: </w:t>
      </w:r>
      <w:hyperlink r:id="rId14">
        <w:r>
          <w:rPr>
            <w:color w:val="0563C1"/>
            <w:u w:val="single"/>
          </w:rPr>
          <w:t>https://www.win-waste.com/green-by-design/waste-by-rail/</w:t>
        </w:r>
      </w:hyperlink>
    </w:p>
    <w:p>
      <w:pPr>
        <w:pStyle w:val="ListBullet"/>
        <w:spacing w:after="60"/>
      </w:pPr>
      <w:r>
        <w:t xml:space="preserve">WIN Waste Sustainability Report page: </w:t>
      </w:r>
      <w:hyperlink r:id="rId15">
        <w:r>
          <w:rPr>
            <w:color w:val="0563C1"/>
            <w:u w:val="single"/>
          </w:rPr>
          <w:t>https://www.win-waste.com/community-and-responsibility/sustainability-report/</w:t>
        </w:r>
      </w:hyperlink>
    </w:p>
    <w:p>
      <w:pPr>
        <w:pStyle w:val="ListBullet"/>
        <w:spacing w:after="60"/>
      </w:pPr>
      <w:r>
        <w:t xml:space="preserve">WIN Waste Business Services: </w:t>
      </w:r>
      <w:hyperlink r:id="rId16">
        <w:r>
          <w:rPr>
            <w:color w:val="0563C1"/>
            <w:u w:val="single"/>
          </w:rPr>
          <w:t>https://www.win-waste.com/business/</w:t>
        </w:r>
      </w:hyperlink>
    </w:p>
    <w:p>
      <w:pPr>
        <w:pStyle w:val="ListBullet"/>
        <w:spacing w:after="60"/>
      </w:pPr>
      <w:r>
        <w:t xml:space="preserve">WIN Waste Commercial Compactor Rental: </w:t>
      </w:r>
      <w:hyperlink r:id="rId17">
        <w:r>
          <w:rPr>
            <w:color w:val="0563C1"/>
            <w:u w:val="single"/>
          </w:rPr>
          <w:t>https://www.win-waste.com/business/compactors/</w:t>
        </w:r>
      </w:hyperlink>
    </w:p>
    <w:p>
      <w:pPr>
        <w:pStyle w:val="ListBullet"/>
        <w:spacing w:after="60"/>
      </w:pPr>
      <w:r>
        <w:t xml:space="preserve">WIN Waste Waste Disposal / Special Waste Services: </w:t>
      </w:r>
      <w:hyperlink r:id="rId18">
        <w:r>
          <w:rPr>
            <w:color w:val="0563C1"/>
            <w:u w:val="single"/>
          </w:rPr>
          <w:t>https://www.win-waste.com/business/special-waste-service/</w:t>
        </w:r>
      </w:hyperlink>
    </w:p>
    <w:p>
      <w:pPr>
        <w:pStyle w:val="ListBullet"/>
        <w:spacing w:after="60"/>
      </w:pPr>
      <w:r>
        <w:t xml:space="preserve">WIN Waste Locations: </w:t>
      </w:r>
      <w:hyperlink r:id="rId19">
        <w:r>
          <w:rPr>
            <w:color w:val="0563C1"/>
            <w:u w:val="single"/>
          </w:rPr>
          <w:t>https://www.win-waste.com/about-us/locations/</w:t>
        </w:r>
      </w:hyperlink>
    </w:p>
    <w:p>
      <w:pPr>
        <w:pStyle w:val="ListBullet"/>
        <w:spacing w:after="60"/>
      </w:pPr>
      <w:r>
        <w:t xml:space="preserve">U.S. EIA: Waste-to-energy: </w:t>
      </w:r>
      <w:hyperlink r:id="rId20">
        <w:r>
          <w:rPr>
            <w:color w:val="0563C1"/>
            <w:u w:val="single"/>
          </w:rPr>
          <w:t>https://www.eia.gov/energyexplained/biomass/waste-to-energy.php</w:t>
        </w:r>
      </w:hyperlink>
    </w:p>
    <w:p>
      <w:pPr>
        <w:pStyle w:val="ListBullet"/>
        <w:spacing w:after="60"/>
      </w:pPr>
      <w:r>
        <w:t xml:space="preserve">U.S. EPA: Basic Information about Landfill Gas: </w:t>
      </w:r>
      <w:hyperlink r:id="rId21">
        <w:r>
          <w:rPr>
            <w:color w:val="0563C1"/>
            <w:u w:val="single"/>
          </w:rPr>
          <w:t>https://www.epa.gov/lmop/basic-information-about-landfill-gas</w:t>
        </w:r>
      </w:hyperlink>
    </w:p>
    <w:p>
      <w:pPr>
        <w:pStyle w:val="ListBullet"/>
        <w:spacing w:after="60"/>
      </w:pPr>
      <w:r>
        <w:t xml:space="preserve">U.S. EPA: Municipal Solid Waste Landfills NSPS/EG: </w:t>
      </w:r>
      <w:hyperlink r:id="rId22">
        <w:r>
          <w:rPr>
            <w:color w:val="0563C1"/>
            <w:u w:val="single"/>
          </w:rPr>
          <w:t>https://www.epa.gov/stationary-sources-air-pollution/municipal-solid-waste-landfills-new-source-performance-standards</w:t>
        </w:r>
      </w:hyperlink>
    </w:p>
    <w:p>
      <w:pPr>
        <w:pStyle w:val="ListBullet"/>
        <w:spacing w:after="60"/>
      </w:pPr>
      <w:r>
        <w:t xml:space="preserve">ScienceDirect: AI and IoT in solid waste management review: </w:t>
      </w:r>
      <w:hyperlink r:id="rId23">
        <w:r>
          <w:rPr>
            <w:color w:val="0563C1"/>
            <w:u w:val="single"/>
          </w:rPr>
          <w:t>https://www.sciencedirect.com/science/article/pii/S2590123025001069</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574"/>
        <w:sz w:val="18"/>
      </w:rPr>
      <w:t>Confidential strategy concept | Prepared June 9,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C6574"/>
        <w:sz w:val="18"/>
      </w:rPr>
      <w:t>WIN Waste Innovations | Application Opportunity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in-waste.com/" TargetMode="External"/><Relationship Id="rId12" Type="http://schemas.openxmlformats.org/officeDocument/2006/relationships/hyperlink" Target="https://www.win-waste.com/about-us/" TargetMode="External"/><Relationship Id="rId13" Type="http://schemas.openxmlformats.org/officeDocument/2006/relationships/hyperlink" Target="https://www.win-waste.com/green-by-design/" TargetMode="External"/><Relationship Id="rId14" Type="http://schemas.openxmlformats.org/officeDocument/2006/relationships/hyperlink" Target="https://www.win-waste.com/green-by-design/waste-by-rail/" TargetMode="External"/><Relationship Id="rId15" Type="http://schemas.openxmlformats.org/officeDocument/2006/relationships/hyperlink" Target="https://www.win-waste.com/community-and-responsibility/sustainability-report/" TargetMode="External"/><Relationship Id="rId16" Type="http://schemas.openxmlformats.org/officeDocument/2006/relationships/hyperlink" Target="https://www.win-waste.com/business/" TargetMode="External"/><Relationship Id="rId17" Type="http://schemas.openxmlformats.org/officeDocument/2006/relationships/hyperlink" Target="https://www.win-waste.com/business/compactors/" TargetMode="External"/><Relationship Id="rId18" Type="http://schemas.openxmlformats.org/officeDocument/2006/relationships/hyperlink" Target="https://www.win-waste.com/business/special-waste-service/" TargetMode="External"/><Relationship Id="rId19" Type="http://schemas.openxmlformats.org/officeDocument/2006/relationships/hyperlink" Target="https://www.win-waste.com/about-us/locations/" TargetMode="External"/><Relationship Id="rId20" Type="http://schemas.openxmlformats.org/officeDocument/2006/relationships/hyperlink" Target="https://www.eia.gov/energyexplained/biomass/waste-to-energy.php" TargetMode="External"/><Relationship Id="rId21" Type="http://schemas.openxmlformats.org/officeDocument/2006/relationships/hyperlink" Target="https://www.epa.gov/lmop/basic-information-about-landfill-gas" TargetMode="External"/><Relationship Id="rId22" Type="http://schemas.openxmlformats.org/officeDocument/2006/relationships/hyperlink" Target="https://www.epa.gov/stationary-sources-air-pollution/municipal-solid-waste-landfills-new-source-performance-standards" TargetMode="External"/><Relationship Id="rId23" Type="http://schemas.openxmlformats.org/officeDocument/2006/relationships/hyperlink" Target="https://www.sciencedirect.com/science/article/pii/S25901230250010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