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t>IMPLEMENTATION BLUEPRINT</w:t>
      </w:r>
    </w:p>
    <w:p>
      <w:pPr>
        <w:spacing w:after="40"/>
      </w:pPr>
      <w:r>
        <w:rPr>
          <w:rFonts w:ascii="Calibri" w:hAnsi="Calibri"/>
          <w:b/>
          <w:color w:val="0B2545"/>
          <w:sz w:val="48"/>
        </w:rPr>
        <w:t>WIN Material Intelligence Cloud</w:t>
      </w:r>
    </w:p>
    <w:p>
      <w:pPr>
        <w:spacing w:after="240"/>
      </w:pPr>
      <w:r>
        <w:rPr>
          <w:rFonts w:ascii="Calibri" w:hAnsi="Calibri"/>
          <w:color w:val="5C6574"/>
          <w:sz w:val="26"/>
        </w:rPr>
        <w:t>A fool-proof, phase-gated plan to build a strategic waste-stream intelligence platform using TanStack Start, Router, Query, DB, Table, Virtual, Form, and Store.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Audience: </w:t>
      </w:r>
      <w:r>
        <w:rPr>
          <w:rFonts w:ascii="Calibri" w:hAnsi="Calibri"/>
          <w:color w:val="0B2545"/>
          <w:sz w:val="21"/>
        </w:rPr>
        <w:t>WIN executive sponsors, product leadership, engineering, data, operations, sales, account management, and compliance teams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Technical posture: </w:t>
      </w:r>
      <w:r>
        <w:rPr>
          <w:rFonts w:ascii="Calibri" w:hAnsi="Calibri"/>
          <w:color w:val="0B2545"/>
          <w:sz w:val="21"/>
        </w:rPr>
        <w:t>TanStack-first application layer with deliberate backend boundaries, version pinning, auditability, and operational fail-safes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Planning standard: </w:t>
      </w:r>
      <w:r>
        <w:rPr>
          <w:rFonts w:ascii="Calibri" w:hAnsi="Calibri"/>
          <w:color w:val="0B2545"/>
          <w:sz w:val="21"/>
        </w:rPr>
        <w:t>Phase-gated implementation with entry criteria, exit criteria, acceptance tests, rollback paths, and executive decision points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Prepared date: </w:t>
      </w:r>
      <w:r>
        <w:rPr>
          <w:rFonts w:ascii="Calibri" w:hAnsi="Calibri"/>
          <w:color w:val="0B2545"/>
          <w:sz w:val="21"/>
        </w:rPr>
        <w:t>June 9, 2026</w:t>
      </w:r>
    </w:p>
    <w:p>
      <w:pPr>
        <w:spacing w:before="200" w:after="200"/>
        <w:pBdr>
          <w:bottom w:val="single" w:sz="12" w:space="6" w:color="2E74B5"/>
        </w:pBdr>
      </w:pP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604C"/>
                <w:sz w:val="22"/>
              </w:rPr>
              <w:t>The promise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This plan makes the product hard to derail: it starts with business proof, creates a canonical material event ledger before advanced AI, uses TanStack where it is strongest, and requires measurable gates before scaling.</w:t>
            </w:r>
          </w:p>
        </w:tc>
      </w:tr>
    </w:tbl>
    <w:p>
      <w:pPr>
        <w:spacing w:after="60"/>
      </w:pPr>
    </w:p>
    <w:p>
      <w:pPr>
        <w:pStyle w:val="Heading1"/>
      </w:pPr>
      <w:r>
        <w:t>1. Executive Implementation Doctrine</w:t>
      </w:r>
    </w:p>
    <w:p>
      <w:r>
        <w:t>The goal is to build a live system of record for customer waste streams, not a dashboard theater project. The implementation must prove business value before expanding technical ambition. Every phase therefore has measurable customer, operations, data, security, and engineering gates.</w:t>
      </w:r>
    </w:p>
    <w:p>
      <w:pPr>
        <w:pStyle w:val="ListBullet"/>
        <w:spacing w:after="80"/>
      </w:pPr>
      <w:r>
        <w:t>Start with the material event ledger. If material movements cannot be trusted, every dashboard, AI model, ESG report, and optimization recommendation becomes fragile.</w:t>
      </w:r>
    </w:p>
    <w:p>
      <w:pPr>
        <w:pStyle w:val="ListBullet"/>
        <w:spacing w:after="80"/>
      </w:pPr>
      <w:r>
        <w:t>Use TanStack for the application contract: typed routes, URL state, server/client data boundaries, cache behavior, high-volume tables, validated forms, and reactive client collections.</w:t>
      </w:r>
    </w:p>
    <w:p>
      <w:pPr>
        <w:pStyle w:val="ListBullet"/>
        <w:spacing w:after="80"/>
      </w:pPr>
      <w:r>
        <w:t>Keep sustainability calculations auditable. Every customer-visible claim must carry a calculation version, source event IDs, assumptions, measured vs. estimated classification, and approval status.</w:t>
      </w:r>
    </w:p>
    <w:p>
      <w:pPr>
        <w:pStyle w:val="ListBullet"/>
        <w:spacing w:after="80"/>
      </w:pPr>
      <w:r>
        <w:t>Treat operations adoption as a product feature. Dispatchers, account managers, facility teams, and customer sustainability leads need different workflows, not one universal screen.</w:t>
      </w:r>
    </w:p>
    <w:p>
      <w:pPr>
        <w:pStyle w:val="ListBullet"/>
        <w:spacing w:after="80"/>
      </w:pPr>
      <w:r>
        <w:t>Pilot with a deliberately narrow operating surface and expand only after the platform beats manual reporting, identifies savings, and survives real account-manager review.</w:t>
      </w:r>
    </w:p>
    <w:p>
      <w:pPr>
        <w:pStyle w:val="Heading1"/>
      </w:pPr>
      <w:r>
        <w:t>2. Recommended TanStack Architecture</w:t>
      </w:r>
    </w:p>
    <w:p>
      <w:r>
        <w:t>TanStack should own the frontend and full-stack application experience while backend data pipelines, calculation services, identity integration, and operational systems remain explicitly bounded. This avoids turning the web framework into the enterprise integration layer.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00"/>
        <w:gridCol w:w="2900"/>
        <w:gridCol w:w="226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TanStack capability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Role in the platform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Implementation decision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Why it matters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TanStack Start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Full-stack application shell with SSR, streaming, server functions, and server routes.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Use for portal, internal cockpit, server-side loaders, and typed server actions; pin versions because Start is RC.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Gives a unified app model without surrendering client-side interactivity.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TanStack Router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Typed route tree, params, route loaders, authenticated routes, and URL search state.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Make URL state the source for filters, tabs, date ranges, account IDs, and report views.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Deep links become reliable artifacts for account reviews and operations handoffs.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TanStack Query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Server-state cache, background refetching, optimistic mutations, invalidation, and hydration.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Use for APIs, report status, service events, recommendations, and customer records.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Prevents manual cache drift across large dashboards.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TanStack DB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Reactive client collections and live queries over API-backed data.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Use selectively for account workspaces, material events, recommendations, and offline-friendly review queues.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Enables spreadsheet-like responsiveness without inventing a local query engine.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TanStack Table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Headless engine for enterprise grids.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Use for material event tables, exceptions, account portfolios, invoices, facilities, and recommendation queues.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Provides controlled sorting, filtering, grouping, column visibility, selection, and pagination.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TanStack Virtual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Virtualization for huge lists and grids.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Pair with Table for high-volume material events, route stops, and facility intake logs.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Keeps UI fast when users inspect thousands of rows.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TanStack Form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Validated forms and workflow submissions.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Use for waste audits, special-waste intake, report approvals, customer settings, and field photo diagnostics.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Keeps complex forms type-safe and validation-rich.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TanStack Store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Small client-side UI/workflow state.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Use only for transient UI state that is not server data or URL state.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Avoids misusing Query as a general client-state dump.</w:t>
            </w:r>
          </w:p>
        </w:tc>
      </w:tr>
    </w:tbl>
    <w:p>
      <w:pPr>
        <w:spacing w:after="80"/>
      </w:pPr>
    </w:p>
    <w:p>
      <w:pPr>
        <w:pStyle w:val="Heading1"/>
      </w:pPr>
      <w:r>
        <w:t>3. Platform Blueprint</w:t>
      </w:r>
    </w:p>
    <w:p>
      <w:r>
        <w:t>The architecture should have five durable layers. Each layer has a contract and can be tested independently.</w:t>
      </w:r>
    </w:p>
    <w:p>
      <w:pPr>
        <w:pStyle w:val="ListNumber"/>
        <w:spacing w:after="80"/>
      </w:pPr>
      <w:r>
        <w:t>Source-system integration layer: route systems, scale tickets, CRM, billing, WTE intake, MRF output, rail logistics, landfill tickets, customer service records, compactor telemetry, photo uploads, and special-waste certificates.</w:t>
      </w:r>
    </w:p>
    <w:p>
      <w:pPr>
        <w:pStyle w:val="ListNumber"/>
        <w:spacing w:after="80"/>
      </w:pPr>
      <w:r>
        <w:t>Canonical material event ledger: immutable append-only events for collection, transfer, sorting, processing, recycling, rail movement, WTE conversion, landfill disposal, recovered metal, exception, certificate, and calculation events.</w:t>
      </w:r>
    </w:p>
    <w:p>
      <w:pPr>
        <w:pStyle w:val="ListNumber"/>
        <w:spacing w:after="80"/>
      </w:pPr>
      <w:r>
        <w:t>Calculation and recommendation services: sustainability factors, routing scenarios, compactor right-sizing, contamination diagnostics, ESG exports, what-if modeling, and recommendation scoring.</w:t>
      </w:r>
    </w:p>
    <w:p>
      <w:pPr>
        <w:pStyle w:val="ListNumber"/>
        <w:spacing w:after="80"/>
      </w:pPr>
      <w:r>
        <w:t>Application APIs and server functions: typed server boundaries used by TanStack Start routes, with access control, audit logging, idempotency, and report generation.</w:t>
      </w:r>
    </w:p>
    <w:p>
      <w:pPr>
        <w:pStyle w:val="ListNumber"/>
        <w:spacing w:after="80"/>
      </w:pPr>
      <w:r>
        <w:t>Role-specific product surfaces: customer portal, account-manager cockpit, dispatch dashboard, facility exception queue, sales demo mode, executive analytics, and compliance review console.</w:t>
      </w:r>
    </w:p>
    <w:p>
      <w:pPr>
        <w:pStyle w:val="Heading1"/>
      </w:pPr>
      <w:r>
        <w:t>4. Fool-Proof Phase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950"/>
        <w:gridCol w:w="4200"/>
        <w:gridCol w:w="2490"/>
      </w:tblGrid>
      <w:t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Phase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Name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Primary objective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Exit gate</w:t>
            </w:r>
          </w:p>
        </w:tc>
      </w:tr>
      <w:t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B2545"/>
                <w:sz w:val="18"/>
              </w:rPr>
              <w:t>0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Mandate and Operating Model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Create sponsorship, scope, product principles, and decision rights.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Named executive sponsor, product owner, technical owner, data owner, compliance owner, and pilot region.</w:t>
            </w:r>
          </w:p>
        </w:tc>
      </w:tr>
      <w:t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B2545"/>
                <w:sz w:val="18"/>
              </w:rPr>
              <w:t>1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Discovery and Proof Inventory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Map real workflows, systems, data quality, customer needs, and reporting obligations.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Pilot accounts selected; data availability scored; manual baseline measured.</w:t>
            </w:r>
          </w:p>
        </w:tc>
      </w:tr>
      <w:t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B2545"/>
                <w:sz w:val="18"/>
              </w:rPr>
              <w:t>2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Data Foundation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Build material event ledger and ingestion contracts before UI scale-up.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Three months of pilot events reconciled with invoices/tickets above agreed accuracy threshold.</w:t>
            </w:r>
          </w:p>
        </w:tc>
      </w:tr>
      <w:t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B2545"/>
                <w:sz w:val="18"/>
              </w:rPr>
              <w:t>3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TanStack Product Shell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Create the secure app foundation, route model, design system, auth, and observability.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Authenticated route tree, role guards, test harness, deployment pipeline, and baseline pages live.</w:t>
            </w:r>
          </w:p>
        </w:tc>
      </w:tr>
      <w:t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B2545"/>
                <w:sz w:val="18"/>
              </w:rPr>
              <w:t>4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MVP Intelligence Modules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Deliver customer ledger, exports, service recommendations, tables, and account cockpit.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Pilot customers and account managers can complete monthly review without spreadsheets.</w:t>
            </w:r>
          </w:p>
        </w:tc>
      </w:tr>
      <w:t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B2545"/>
                <w:sz w:val="18"/>
              </w:rPr>
              <w:t>5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Optimization and AI Assist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Add diagnostics, compactor intelligence, what-if modeling, and recommendation governance.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Recommendations show measurable savings or diversion lift and are human-approved.</w:t>
            </w:r>
          </w:p>
        </w:tc>
      </w:tr>
      <w:t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B2545"/>
                <w:sz w:val="18"/>
              </w:rPr>
              <w:t>6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Pilot Hardening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Run real operations, resolve support loops, tighten calculations, and prove commercial model.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Executive go/no-go based on adoption, value, accuracy, security, and margin signals.</w:t>
            </w:r>
          </w:p>
        </w:tc>
      </w:tr>
      <w:t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B2545"/>
                <w:sz w:val="18"/>
              </w:rPr>
              <w:t>7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Regional Scale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Expand to more accounts, regions, facilities, and premium packages.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Repeatable onboarding playbook and SLA-backed support model.</w:t>
            </w:r>
          </w:p>
        </w:tc>
      </w:tr>
      <w:t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B2545"/>
                <w:sz w:val="18"/>
              </w:rPr>
              <w:t>8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Enterprise Flywheel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Turn the platform into a durable competitive moat.</w:t>
            </w:r>
          </w:p>
        </w:tc>
        <w:tc>
          <w:tcPr>
            <w:tcW w:type="dxa" w:w="24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Platform becomes a renewal, sales, advisory, and operations operating system.</w:t>
            </w:r>
          </w:p>
        </w:tc>
      </w:tr>
    </w:tbl>
    <w:p>
      <w:pPr>
        <w:spacing w:after="80"/>
      </w:pPr>
    </w:p>
    <w:p>
      <w:pPr>
        <w:pStyle w:val="Heading1"/>
      </w:pPr>
      <w:r>
        <w:t>5. Detailed Phase Plan</w:t>
      </w:r>
    </w:p>
    <w:p>
      <w:pPr>
        <w:pStyle w:val="Heading2"/>
      </w:pPr>
      <w:r>
        <w:t>Phase 0: Mandate and Operating Model</w:t>
      </w:r>
    </w:p>
    <w:p>
      <w:pPr>
        <w:spacing w:after="40"/>
      </w:pPr>
      <w:r>
        <w:t>Duration: 2 weeks</w:t>
      </w:r>
    </w:p>
    <w:p>
      <w:pPr>
        <w:spacing w:after="120"/>
      </w:pPr>
      <w:r>
        <w:t>Objective: Prevent ambiguity before engineering starts.</w:t>
      </w:r>
    </w:p>
    <w:p>
      <w:pPr>
        <w:pStyle w:val="Heading3"/>
      </w:pPr>
      <w:r>
        <w:t>Stages</w:t>
      </w:r>
    </w:p>
    <w:p>
      <w:pPr>
        <w:pStyle w:val="ListBullet"/>
        <w:spacing w:after="80"/>
      </w:pPr>
      <w:r>
        <w:t>Define the strategic product charter: customer value, operational value, revenue hypothesis, and explicit non-goals.</w:t>
      </w:r>
    </w:p>
    <w:p>
      <w:pPr>
        <w:pStyle w:val="ListBullet"/>
        <w:spacing w:after="80"/>
      </w:pPr>
      <w:r>
        <w:t>Name DRIs for product, engineering, data, operations, compliance, cybersecurity, sales, and customer success.</w:t>
      </w:r>
    </w:p>
    <w:p>
      <w:pPr>
        <w:pStyle w:val="ListBullet"/>
        <w:spacing w:after="80"/>
      </w:pPr>
      <w:r>
        <w:t>Select one pilot region, one customer segment, and one service mix; avoid national scope at inception.</w:t>
      </w:r>
    </w:p>
    <w:p>
      <w:pPr>
        <w:pStyle w:val="ListBullet"/>
        <w:spacing w:after="80"/>
      </w:pPr>
      <w:r>
        <w:t>Create a decision forum that can resolve data ownership, calculation policy, customer claims, and operational workflow disputes within 48 hours.</w:t>
      </w:r>
    </w:p>
    <w:p>
      <w:pPr>
        <w:pStyle w:val="Heading3"/>
      </w:pPr>
      <w:r>
        <w:t>Exit Criteria</w:t>
      </w:r>
    </w:p>
    <w:p>
      <w:pPr>
        <w:pStyle w:val="ListBullet"/>
        <w:spacing w:after="80"/>
      </w:pPr>
      <w:r>
        <w:t>Signed product charter.</w:t>
      </w:r>
    </w:p>
    <w:p>
      <w:pPr>
        <w:pStyle w:val="ListBullet"/>
        <w:spacing w:after="80"/>
      </w:pPr>
      <w:r>
        <w:t>Pilot region and 20-50 candidate accounts.</w:t>
      </w:r>
    </w:p>
    <w:p>
      <w:pPr>
        <w:pStyle w:val="ListBullet"/>
        <w:spacing w:after="80"/>
      </w:pPr>
      <w:r>
        <w:t>Calculation governance owner.</w:t>
      </w:r>
    </w:p>
    <w:p>
      <w:pPr>
        <w:pStyle w:val="ListBullet"/>
        <w:spacing w:after="80"/>
      </w:pPr>
      <w:r>
        <w:t>Approved technology posture, including TanStack Start version pinning and fallback plan.</w:t>
      </w:r>
    </w:p>
    <w:p>
      <w:pPr>
        <w:pStyle w:val="Heading2"/>
      </w:pPr>
      <w:r>
        <w:t>Phase 1: Discovery and Proof Inventory</w:t>
      </w:r>
    </w:p>
    <w:p>
      <w:pPr>
        <w:spacing w:after="40"/>
      </w:pPr>
      <w:r>
        <w:t>Duration: 4-6 weeks</w:t>
      </w:r>
    </w:p>
    <w:p>
      <w:pPr>
        <w:spacing w:after="120"/>
      </w:pPr>
      <w:r>
        <w:t>Objective: Find the exact places where data can become money, retention, or operational savings.</w:t>
      </w:r>
    </w:p>
    <w:p>
      <w:pPr>
        <w:pStyle w:val="Heading3"/>
      </w:pPr>
      <w:r>
        <w:t>Stages</w:t>
      </w:r>
    </w:p>
    <w:p>
      <w:pPr>
        <w:pStyle w:val="ListBullet"/>
        <w:spacing w:after="80"/>
      </w:pPr>
      <w:r>
        <w:t>Shadow account managers, dispatchers, facility teams, sales reps, customer service, and sustainability/reporting staff.</w:t>
      </w:r>
    </w:p>
    <w:p>
      <w:pPr>
        <w:pStyle w:val="ListBullet"/>
        <w:spacing w:after="80"/>
      </w:pPr>
      <w:r>
        <w:t>Trace five real customer material journeys from pickup through transfer, rail, WTE, recycling, landfill, invoice, and report.</w:t>
      </w:r>
    </w:p>
    <w:p>
      <w:pPr>
        <w:pStyle w:val="ListBullet"/>
        <w:spacing w:after="80"/>
      </w:pPr>
      <w:r>
        <w:t>Inventory source systems, identifiers, timestamps, reconciliation keys, latency, owner, and known trust gaps.</w:t>
      </w:r>
    </w:p>
    <w:p>
      <w:pPr>
        <w:pStyle w:val="ListBullet"/>
        <w:spacing w:after="80"/>
      </w:pPr>
      <w:r>
        <w:t>Baseline manual reporting time, current service exceptions, missed/overflow events, contamination issues, and compactor opportunities.</w:t>
      </w:r>
    </w:p>
    <w:p>
      <w:pPr>
        <w:pStyle w:val="ListBullet"/>
        <w:spacing w:after="80"/>
      </w:pPr>
      <w:r>
        <w:t>Prototype reports in static form and validate with pilot customers before building dynamic screens.</w:t>
      </w:r>
    </w:p>
    <w:p>
      <w:pPr>
        <w:pStyle w:val="Heading3"/>
      </w:pPr>
      <w:r>
        <w:t>Exit Criteria</w:t>
      </w:r>
    </w:p>
    <w:p>
      <w:pPr>
        <w:pStyle w:val="ListBullet"/>
        <w:spacing w:after="80"/>
      </w:pPr>
      <w:r>
        <w:t>Data map with red/yellow/green confidence by source.</w:t>
      </w:r>
    </w:p>
    <w:p>
      <w:pPr>
        <w:pStyle w:val="ListBullet"/>
        <w:spacing w:after="80"/>
      </w:pPr>
      <w:r>
        <w:t>Top 10 workflows ranked by value and feasibility.</w:t>
      </w:r>
    </w:p>
    <w:p>
      <w:pPr>
        <w:pStyle w:val="ListBullet"/>
        <w:spacing w:after="80"/>
      </w:pPr>
      <w:r>
        <w:t>Report mockups approved by customers and account managers.</w:t>
      </w:r>
    </w:p>
    <w:p>
      <w:pPr>
        <w:pStyle w:val="ListBullet"/>
        <w:spacing w:after="80"/>
      </w:pPr>
      <w:r>
        <w:t>MVP backlog frozen for Phase 2 and Phase 3.</w:t>
      </w:r>
    </w:p>
    <w:p>
      <w:pPr>
        <w:pStyle w:val="Heading2"/>
      </w:pPr>
      <w:r>
        <w:t>Phase 2: Data Foundation and Material Event Ledger</w:t>
      </w:r>
    </w:p>
    <w:p>
      <w:pPr>
        <w:spacing w:after="40"/>
      </w:pPr>
      <w:r>
        <w:t>Duration: 8-12 weeks</w:t>
      </w:r>
    </w:p>
    <w:p>
      <w:pPr>
        <w:spacing w:after="120"/>
      </w:pPr>
      <w:r>
        <w:t>Objective: Create the trust layer that the entire product will stand on.</w:t>
      </w:r>
    </w:p>
    <w:p>
      <w:pPr>
        <w:pStyle w:val="Heading3"/>
      </w:pPr>
      <w:r>
        <w:t>Stages</w:t>
      </w:r>
    </w:p>
    <w:p>
      <w:pPr>
        <w:pStyle w:val="ListBullet"/>
        <w:spacing w:after="80"/>
      </w:pPr>
      <w:r>
        <w:t>Define canonical event types, event IDs, source IDs, account/site/container/facility references, timestamps, units, evidence links, and correction semantics.</w:t>
      </w:r>
    </w:p>
    <w:p>
      <w:pPr>
        <w:pStyle w:val="ListBullet"/>
        <w:spacing w:after="80"/>
      </w:pPr>
      <w:r>
        <w:t>Build ingestion adapters for CRM/account data, route/service events, scale tickets, WTE intake, MRF output, landfill tickets, rail movement, and billing.</w:t>
      </w:r>
    </w:p>
    <w:p>
      <w:pPr>
        <w:pStyle w:val="ListBullet"/>
        <w:spacing w:after="80"/>
      </w:pPr>
      <w:r>
        <w:t>Create reconciliation jobs that compare material events against invoices, facility totals, and route completion records.</w:t>
      </w:r>
    </w:p>
    <w:p>
      <w:pPr>
        <w:pStyle w:val="ListBullet"/>
        <w:spacing w:after="80"/>
      </w:pPr>
      <w:r>
        <w:t>Add data-quality scoring, exception queues, source lineage, duplicate detection, and late-arriving event handling.</w:t>
      </w:r>
    </w:p>
    <w:p>
      <w:pPr>
        <w:pStyle w:val="ListBullet"/>
        <w:spacing w:after="80"/>
      </w:pPr>
      <w:r>
        <w:t>Define sustainability calculation versions and separate measured values from estimated values.</w:t>
      </w:r>
    </w:p>
    <w:p>
      <w:pPr>
        <w:pStyle w:val="Heading3"/>
      </w:pPr>
      <w:r>
        <w:t>Exit Criteria</w:t>
      </w:r>
    </w:p>
    <w:p>
      <w:pPr>
        <w:pStyle w:val="ListBullet"/>
        <w:spacing w:after="80"/>
      </w:pPr>
      <w:r>
        <w:t>Pilot accounts have at least 90 days of reconstructed material events.</w:t>
      </w:r>
    </w:p>
    <w:p>
      <w:pPr>
        <w:pStyle w:val="ListBullet"/>
        <w:spacing w:after="80"/>
      </w:pPr>
      <w:r>
        <w:t>Reconciliation accuracy meets the executive-approved threshold.</w:t>
      </w:r>
    </w:p>
    <w:p>
      <w:pPr>
        <w:pStyle w:val="ListBullet"/>
        <w:spacing w:after="80"/>
      </w:pPr>
      <w:r>
        <w:t>Every customer-visible metric can trace back to source events and calculation versions.</w:t>
      </w:r>
    </w:p>
    <w:p>
      <w:pPr>
        <w:pStyle w:val="ListBullet"/>
        <w:spacing w:after="80"/>
      </w:pPr>
      <w:r>
        <w:t>Data defects flow to an owner, not a dead-letter pile.</w:t>
      </w:r>
    </w:p>
    <w:p>
      <w:pPr>
        <w:pStyle w:val="Heading2"/>
      </w:pPr>
      <w:r>
        <w:t>Phase 3: TanStack Product Shell</w:t>
      </w:r>
    </w:p>
    <w:p>
      <w:pPr>
        <w:spacing w:after="40"/>
      </w:pPr>
      <w:r>
        <w:t>Duration: 6-8 weeks, parallel with late Phase 2</w:t>
      </w:r>
    </w:p>
    <w:p>
      <w:pPr>
        <w:spacing w:after="120"/>
      </w:pPr>
      <w:r>
        <w:t>Objective: Build the secure, testable application platform before feature sprawl.</w:t>
      </w:r>
    </w:p>
    <w:p>
      <w:pPr>
        <w:pStyle w:val="Heading3"/>
      </w:pPr>
      <w:r>
        <w:t>Stages</w:t>
      </w:r>
    </w:p>
    <w:p>
      <w:pPr>
        <w:pStyle w:val="ListBullet"/>
        <w:spacing w:after="80"/>
      </w:pPr>
      <w:r>
        <w:t>Scaffold TanStack Start with React, TypeScript, strict mode, Biome or ESLint, route generation, CI, and pinned package versions.</w:t>
      </w:r>
    </w:p>
    <w:p>
      <w:pPr>
        <w:pStyle w:val="ListBullet"/>
        <w:spacing w:after="80"/>
      </w:pPr>
      <w:r>
        <w:t>Model routes around real workspaces: /accounts, /accounts/$accountId/sites/$siteId, /ledger, /reports, /recommendations, /dispatch, /facilities, /admin.</w:t>
      </w:r>
    </w:p>
    <w:p>
      <w:pPr>
        <w:pStyle w:val="ListBullet"/>
        <w:spacing w:after="80"/>
      </w:pPr>
      <w:r>
        <w:t>Use TanStack Router search params for date range, account filters, facility filters, tab state, table state, and saved views.</w:t>
      </w:r>
    </w:p>
    <w:p>
      <w:pPr>
        <w:pStyle w:val="ListBullet"/>
        <w:spacing w:after="80"/>
      </w:pPr>
      <w:r>
        <w:t>Use TanStack Query for server-state calls and define query-key factories before feature teams create ad hoc keys.</w:t>
      </w:r>
    </w:p>
    <w:p>
      <w:pPr>
        <w:pStyle w:val="ListBullet"/>
        <w:spacing w:after="80"/>
      </w:pPr>
      <w:r>
        <w:t>Establish TanStack Table primitives, Virtual list patterns, Form wrappers, accessibility checks, error boundaries, and role-based route guards.</w:t>
      </w:r>
    </w:p>
    <w:p>
      <w:pPr>
        <w:pStyle w:val="ListBullet"/>
        <w:spacing w:after="80"/>
      </w:pPr>
      <w:r>
        <w:t>Instrument performance, errors, slow queries, mutation failure rates, and user journeys from day one.</w:t>
      </w:r>
    </w:p>
    <w:p>
      <w:pPr>
        <w:pStyle w:val="Heading3"/>
      </w:pPr>
      <w:r>
        <w:t>Exit Criteria</w:t>
      </w:r>
    </w:p>
    <w:p>
      <w:pPr>
        <w:pStyle w:val="ListBullet"/>
        <w:spacing w:after="80"/>
      </w:pPr>
      <w:r>
        <w:t>App shell deploys to staging with authentication, roles, observability, and automated tests.</w:t>
      </w:r>
    </w:p>
    <w:p>
      <w:pPr>
        <w:pStyle w:val="ListBullet"/>
        <w:spacing w:after="80"/>
      </w:pPr>
      <w:r>
        <w:t>Route contracts and query keys are documented and linted.</w:t>
      </w:r>
    </w:p>
    <w:p>
      <w:pPr>
        <w:pStyle w:val="ListBullet"/>
        <w:spacing w:after="80"/>
      </w:pPr>
      <w:r>
        <w:t>A representative table handles 50,000 row-equivalent data with virtualization and usable filtering.</w:t>
      </w:r>
    </w:p>
    <w:p>
      <w:pPr>
        <w:pStyle w:val="ListBullet"/>
        <w:spacing w:after="80"/>
      </w:pPr>
      <w:r>
        <w:t>No customer data is visible without enforced role and tenant checks.</w:t>
      </w:r>
    </w:p>
    <w:p>
      <w:pPr>
        <w:pStyle w:val="Heading2"/>
      </w:pPr>
      <w:r>
        <w:t>Phase 4: MVP Intelligence Modules</w:t>
      </w:r>
    </w:p>
    <w:p>
      <w:pPr>
        <w:spacing w:after="40"/>
      </w:pPr>
      <w:r>
        <w:t>Duration: 12-16 weeks</w:t>
      </w:r>
    </w:p>
    <w:p>
      <w:pPr>
        <w:spacing w:after="120"/>
      </w:pPr>
      <w:r>
        <w:t>Objective: Deliver enough end-to-end product to replace spreadsheet-heavy monthly review.</w:t>
      </w:r>
    </w:p>
    <w:p>
      <w:pPr>
        <w:pStyle w:val="Heading3"/>
      </w:pPr>
      <w:r>
        <w:t>Stages</w:t>
      </w:r>
    </w:p>
    <w:p>
      <w:pPr>
        <w:pStyle w:val="ListBullet"/>
        <w:spacing w:after="80"/>
      </w:pPr>
      <w:r>
        <w:t>Customer Sustainability Ledger: account-level tons, service events, material pathways, recycling, WTE, rail movement, landfill diversion, and exportable summaries.</w:t>
      </w:r>
    </w:p>
    <w:p>
      <w:pPr>
        <w:pStyle w:val="ListBullet"/>
        <w:spacing w:after="80"/>
      </w:pPr>
      <w:r>
        <w:t>Account Manager Cockpit: account health, exceptions, missing data, renewal talking points, recommendations, and report approval workflow.</w:t>
      </w:r>
    </w:p>
    <w:p>
      <w:pPr>
        <w:pStyle w:val="ListBullet"/>
        <w:spacing w:after="80"/>
      </w:pPr>
      <w:r>
        <w:t>Service Optimization View: pickup cadence, missed service, overflow, underfilled haul signals, compactor candidacy, and container right-sizing recommendations.</w:t>
      </w:r>
    </w:p>
    <w:p>
      <w:pPr>
        <w:pStyle w:val="ListBullet"/>
        <w:spacing w:after="80"/>
      </w:pPr>
      <w:r>
        <w:t>Report Export Engine: PDF/CSV outputs with calculation version, source period, approval status, and customer-visible assumptions.</w:t>
      </w:r>
    </w:p>
    <w:p>
      <w:pPr>
        <w:pStyle w:val="ListBullet"/>
        <w:spacing w:after="80"/>
      </w:pPr>
      <w:r>
        <w:t>Operations Exception Queue: reconcile failures, missing tickets, suspicious weights, duplicate events, late events, and customer-facing correction workflow.</w:t>
      </w:r>
    </w:p>
    <w:p>
      <w:pPr>
        <w:pStyle w:val="Heading3"/>
      </w:pPr>
      <w:r>
        <w:t>Exit Criteria</w:t>
      </w:r>
    </w:p>
    <w:p>
      <w:pPr>
        <w:pStyle w:val="ListBullet"/>
        <w:spacing w:after="80"/>
      </w:pPr>
      <w:r>
        <w:t>Pilot account managers can run monthly reviews without manual spreadsheet assembly.</w:t>
      </w:r>
    </w:p>
    <w:p>
      <w:pPr>
        <w:pStyle w:val="ListBullet"/>
        <w:spacing w:after="80"/>
      </w:pPr>
      <w:r>
        <w:t>Customers can self-serve approved reports and understand assumptions.</w:t>
      </w:r>
    </w:p>
    <w:p>
      <w:pPr>
        <w:pStyle w:val="ListBullet"/>
        <w:spacing w:after="80"/>
      </w:pPr>
      <w:r>
        <w:t>Data exceptions are visible, triaged, and resolved within agreed SLA.</w:t>
      </w:r>
    </w:p>
    <w:p>
      <w:pPr>
        <w:pStyle w:val="ListBullet"/>
        <w:spacing w:after="80"/>
      </w:pPr>
      <w:r>
        <w:t>MVP proves at least two quantified value levers, such as report-time reduction and haul-optimization savings.</w:t>
      </w:r>
    </w:p>
    <w:p>
      <w:pPr>
        <w:pStyle w:val="Heading2"/>
      </w:pPr>
      <w:r>
        <w:t>Phase 5: Optimization and AI Assist</w:t>
      </w:r>
    </w:p>
    <w:p>
      <w:pPr>
        <w:spacing w:after="40"/>
      </w:pPr>
      <w:r>
        <w:t>Duration: 10-14 weeks</w:t>
      </w:r>
    </w:p>
    <w:p>
      <w:pPr>
        <w:spacing w:after="120"/>
      </w:pPr>
      <w:r>
        <w:t>Objective: Add intelligence only where the ledger and workflows have already earned trust.</w:t>
      </w:r>
    </w:p>
    <w:p>
      <w:pPr>
        <w:pStyle w:val="Heading3"/>
      </w:pPr>
      <w:r>
        <w:t>Stages</w:t>
      </w:r>
    </w:p>
    <w:p>
      <w:pPr>
        <w:pStyle w:val="ListBullet"/>
        <w:spacing w:after="80"/>
      </w:pPr>
      <w:r>
        <w:t>Introduce compactor telemetry and fill-level optimization for high-value accounts.</w:t>
      </w:r>
    </w:p>
    <w:p>
      <w:pPr>
        <w:pStyle w:val="ListBullet"/>
        <w:spacing w:after="80"/>
      </w:pPr>
      <w:r>
        <w:t>Add photo-assisted diagnostics for contamination, overflow, special-waste evidence, and recoverable material opportunities.</w:t>
      </w:r>
    </w:p>
    <w:p>
      <w:pPr>
        <w:pStyle w:val="ListBullet"/>
        <w:spacing w:after="80"/>
      </w:pPr>
      <w:r>
        <w:t>Build what-if simulations for pickup frequency, compactor conversion, cardboard diversion, WTE path, rail movement, and service changes.</w:t>
      </w:r>
    </w:p>
    <w:p>
      <w:pPr>
        <w:pStyle w:val="ListBullet"/>
        <w:spacing w:after="80"/>
      </w:pPr>
      <w:r>
        <w:t>Create human-in-the-loop recommendation approval with confidence, explanation, data lineage, and expected value.</w:t>
      </w:r>
    </w:p>
    <w:p>
      <w:pPr>
        <w:pStyle w:val="ListBullet"/>
        <w:spacing w:after="80"/>
      </w:pPr>
      <w:r>
        <w:t>Add sales demo mode that can safely simulate outcomes without exposing unapproved claims.</w:t>
      </w:r>
    </w:p>
    <w:p>
      <w:pPr>
        <w:pStyle w:val="Heading3"/>
      </w:pPr>
      <w:r>
        <w:t>Exit Criteria</w:t>
      </w:r>
    </w:p>
    <w:p>
      <w:pPr>
        <w:pStyle w:val="ListBullet"/>
        <w:spacing w:after="80"/>
      </w:pPr>
      <w:r>
        <w:t>Recommendations have measured precision/recall or business acceptance scores.</w:t>
      </w:r>
    </w:p>
    <w:p>
      <w:pPr>
        <w:pStyle w:val="ListBullet"/>
        <w:spacing w:after="80"/>
      </w:pPr>
      <w:r>
        <w:t>No recommendation becomes customer-visible without approval rules.</w:t>
      </w:r>
    </w:p>
    <w:p>
      <w:pPr>
        <w:pStyle w:val="ListBullet"/>
        <w:spacing w:after="80"/>
      </w:pPr>
      <w:r>
        <w:t>At least one optimization creates statistically credible savings or service improvement.</w:t>
      </w:r>
    </w:p>
    <w:p>
      <w:pPr>
        <w:pStyle w:val="ListBullet"/>
        <w:spacing w:after="80"/>
      </w:pPr>
      <w:r>
        <w:t>Model outputs include explanation, confidence, and rollback path.</w:t>
      </w:r>
    </w:p>
    <w:p>
      <w:pPr>
        <w:pStyle w:val="Heading2"/>
      </w:pPr>
      <w:r>
        <w:t>Phase 6: Pilot Hardening and Commercial Packaging</w:t>
      </w:r>
    </w:p>
    <w:p>
      <w:pPr>
        <w:spacing w:after="40"/>
      </w:pPr>
      <w:r>
        <w:t>Duration: 8-10 weeks</w:t>
      </w:r>
    </w:p>
    <w:p>
      <w:pPr>
        <w:spacing w:after="120"/>
      </w:pPr>
      <w:r>
        <w:t>Objective: Turn a working MVP into a product WIN can sell, support, and defend.</w:t>
      </w:r>
    </w:p>
    <w:p>
      <w:pPr>
        <w:pStyle w:val="Heading3"/>
      </w:pPr>
      <w:r>
        <w:t>Stages</w:t>
      </w:r>
    </w:p>
    <w:p>
      <w:pPr>
        <w:pStyle w:val="ListBullet"/>
        <w:spacing w:after="80"/>
      </w:pPr>
      <w:r>
        <w:t>Run weekly pilot account reviews and capture adoption, confusion, missing metrics, report edits, support tickets, and value outcomes.</w:t>
      </w:r>
    </w:p>
    <w:p>
      <w:pPr>
        <w:pStyle w:val="ListBullet"/>
        <w:spacing w:after="80"/>
      </w:pPr>
      <w:r>
        <w:t>Finalize pricing tiers: included portal, premium ESG exports, advisory package, API access, and enterprise portfolio analytics.</w:t>
      </w:r>
    </w:p>
    <w:p>
      <w:pPr>
        <w:pStyle w:val="ListBullet"/>
        <w:spacing w:after="80"/>
      </w:pPr>
      <w:r>
        <w:t>Run security review, privacy review, claim-language review, and disaster recovery tabletop exercise.</w:t>
      </w:r>
    </w:p>
    <w:p>
      <w:pPr>
        <w:pStyle w:val="ListBullet"/>
        <w:spacing w:after="80"/>
      </w:pPr>
      <w:r>
        <w:t>Create onboarding, training, support scripts, sales collateral, QBR templates, and customer success playbooks.</w:t>
      </w:r>
    </w:p>
    <w:p>
      <w:pPr>
        <w:pStyle w:val="Heading3"/>
      </w:pPr>
      <w:r>
        <w:t>Exit Criteria</w:t>
      </w:r>
    </w:p>
    <w:p>
      <w:pPr>
        <w:pStyle w:val="ListBullet"/>
        <w:spacing w:after="80"/>
      </w:pPr>
      <w:r>
        <w:t>Pilot customers renew or express willingness to pay for premium value.</w:t>
      </w:r>
    </w:p>
    <w:p>
      <w:pPr>
        <w:pStyle w:val="ListBullet"/>
        <w:spacing w:after="80"/>
      </w:pPr>
      <w:r>
        <w:t>Support model handles real questions without engineering intervention.</w:t>
      </w:r>
    </w:p>
    <w:p>
      <w:pPr>
        <w:pStyle w:val="ListBullet"/>
        <w:spacing w:after="80"/>
      </w:pPr>
      <w:r>
        <w:t>Security and compliance sign off on data exposure, claims, and auditability.</w:t>
      </w:r>
    </w:p>
    <w:p>
      <w:pPr>
        <w:pStyle w:val="ListBullet"/>
        <w:spacing w:after="80"/>
      </w:pPr>
      <w:r>
        <w:t>Executive team approves regional scale.</w:t>
      </w:r>
    </w:p>
    <w:p>
      <w:pPr>
        <w:pStyle w:val="Heading2"/>
      </w:pPr>
      <w:r>
        <w:t>Phase 7: Regional Scale</w:t>
      </w:r>
    </w:p>
    <w:p>
      <w:pPr>
        <w:spacing w:after="40"/>
      </w:pPr>
      <w:r>
        <w:t>Duration: 6-9 months</w:t>
      </w:r>
    </w:p>
    <w:p>
      <w:pPr>
        <w:spacing w:after="120"/>
      </w:pPr>
      <w:r>
        <w:t>Objective: Scale the product without letting data quality, support, or custom reporting chaos outrun the platform.</w:t>
      </w:r>
    </w:p>
    <w:p>
      <w:pPr>
        <w:pStyle w:val="Heading3"/>
      </w:pPr>
      <w:r>
        <w:t>Stages</w:t>
      </w:r>
    </w:p>
    <w:p>
      <w:pPr>
        <w:pStyle w:val="ListBullet"/>
        <w:spacing w:after="80"/>
      </w:pPr>
      <w:r>
        <w:t>Create a repeatable region-onboarding playbook: source systems, data mapping, facility profiles, calculation factors, account segmentation, and training.</w:t>
      </w:r>
    </w:p>
    <w:p>
      <w:pPr>
        <w:pStyle w:val="ListBullet"/>
        <w:spacing w:after="80"/>
      </w:pPr>
      <w:r>
        <w:t>Expand from pilot accounts to strategic commercial portfolios and municipalities.</w:t>
      </w:r>
    </w:p>
    <w:p>
      <w:pPr>
        <w:pStyle w:val="ListBullet"/>
        <w:spacing w:after="80"/>
      </w:pPr>
      <w:r>
        <w:t>Add API and scheduled delivery options for enterprise ESG systems and customer procurement portals.</w:t>
      </w:r>
    </w:p>
    <w:p>
      <w:pPr>
        <w:pStyle w:val="ListBullet"/>
        <w:spacing w:after="80"/>
      </w:pPr>
      <w:r>
        <w:t>Introduce premium benchmark views across sites, regions, industries, and service types.</w:t>
      </w:r>
    </w:p>
    <w:p>
      <w:pPr>
        <w:pStyle w:val="ListBullet"/>
        <w:spacing w:after="80"/>
      </w:pPr>
      <w:r>
        <w:t>Track product-qualified expansion signals for compactors, recycling, special waste, Green Glove/WTE service, and advisory work.</w:t>
      </w:r>
    </w:p>
    <w:p>
      <w:pPr>
        <w:pStyle w:val="Heading3"/>
      </w:pPr>
      <w:r>
        <w:t>Exit Criteria</w:t>
      </w:r>
    </w:p>
    <w:p>
      <w:pPr>
        <w:pStyle w:val="ListBullet"/>
        <w:spacing w:after="80"/>
      </w:pPr>
      <w:r>
        <w:t>New region onboarding time falls below target threshold.</w:t>
      </w:r>
    </w:p>
    <w:p>
      <w:pPr>
        <w:pStyle w:val="ListBullet"/>
        <w:spacing w:after="80"/>
      </w:pPr>
      <w:r>
        <w:t>Portal usage and report downloads correlate with account retention or expansion.</w:t>
      </w:r>
    </w:p>
    <w:p>
      <w:pPr>
        <w:pStyle w:val="ListBullet"/>
        <w:spacing w:after="80"/>
      </w:pPr>
      <w:r>
        <w:t>Support load per customer decreases as self-service maturity improves.</w:t>
      </w:r>
    </w:p>
    <w:p>
      <w:pPr>
        <w:pStyle w:val="ListBullet"/>
        <w:spacing w:after="80"/>
      </w:pPr>
      <w:r>
        <w:t>Premium attach rate validates the revenue model.</w:t>
      </w:r>
    </w:p>
    <w:p>
      <w:pPr>
        <w:pStyle w:val="Heading2"/>
      </w:pPr>
      <w:r>
        <w:t>Phase 8: Enterprise Flywheel</w:t>
      </w:r>
    </w:p>
    <w:p>
      <w:pPr>
        <w:spacing w:after="40"/>
      </w:pPr>
      <w:r>
        <w:t>Duration: Ongoing</w:t>
      </w:r>
    </w:p>
    <w:p>
      <w:pPr>
        <w:spacing w:after="120"/>
      </w:pPr>
      <w:r>
        <w:t>Objective: Convert the product from a useful portal into a strategic moat.</w:t>
      </w:r>
    </w:p>
    <w:p>
      <w:pPr>
        <w:pStyle w:val="Heading3"/>
      </w:pPr>
      <w:r>
        <w:t>Stages</w:t>
      </w:r>
    </w:p>
    <w:p>
      <w:pPr>
        <w:pStyle w:val="ListBullet"/>
        <w:spacing w:after="80"/>
      </w:pPr>
      <w:r>
        <w:t>Use aggregate learning to improve routing, rail utilization, facility capacity planning, contamination coaching, and commodity recovery.</w:t>
      </w:r>
    </w:p>
    <w:p>
      <w:pPr>
        <w:pStyle w:val="ListBullet"/>
        <w:spacing w:after="80"/>
      </w:pPr>
      <w:r>
        <w:t>Create executive portfolio intelligence for customers with multi-site operations.</w:t>
      </w:r>
    </w:p>
    <w:p>
      <w:pPr>
        <w:pStyle w:val="ListBullet"/>
        <w:spacing w:after="80"/>
      </w:pPr>
      <w:r>
        <w:t>Offer verified APIs and data feeds to customer ESG, procurement, finance, and facilities systems.</w:t>
      </w:r>
    </w:p>
    <w:p>
      <w:pPr>
        <w:pStyle w:val="ListBullet"/>
        <w:spacing w:after="80"/>
      </w:pPr>
      <w:r>
        <w:t>Build a marketplace of expert playbooks: hospital waste, university move-out, manufacturing scrap, food processor diversion, municipal reporting, and commercial real estate tenant reporting.</w:t>
      </w:r>
    </w:p>
    <w:p>
      <w:pPr>
        <w:pStyle w:val="Heading3"/>
      </w:pPr>
      <w:r>
        <w:t>Exit Criteria</w:t>
      </w:r>
    </w:p>
    <w:p>
      <w:pPr>
        <w:pStyle w:val="ListBullet"/>
        <w:spacing w:after="80"/>
      </w:pPr>
      <w:r>
        <w:t>Platform influences renewals, pricing, routing decisions, and capital planning.</w:t>
      </w:r>
    </w:p>
    <w:p>
      <w:pPr>
        <w:pStyle w:val="ListBullet"/>
        <w:spacing w:after="80"/>
      </w:pPr>
      <w:r>
        <w:t>WIN can show differentiated proof that competitors cannot easily reproduce.</w:t>
      </w:r>
    </w:p>
    <w:p>
      <w:pPr>
        <w:pStyle w:val="ListBullet"/>
        <w:spacing w:after="80"/>
      </w:pPr>
      <w:r>
        <w:t>The material event ledger becomes a durable internal data asset.</w:t>
      </w:r>
    </w:p>
    <w:p>
      <w:pPr>
        <w:pStyle w:val="ListBullet"/>
        <w:spacing w:after="80"/>
      </w:pPr>
      <w:r>
        <w:t>Operational insights feed back into service design and infrastructure utilization.</w:t>
      </w:r>
    </w:p>
    <w:p>
      <w:pPr>
        <w:pStyle w:val="Heading1"/>
      </w:pPr>
      <w:r>
        <w:t>6. Application Information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50"/>
        <w:gridCol w:w="2600"/>
        <w:gridCol w:w="221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Routes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Primary TanStack patterns</w:t>
            </w:r>
          </w:p>
        </w:tc>
        <w:tc>
          <w:tcPr>
            <w:tcW w:type="dxa" w:w="2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Acceptance standard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Customer Portal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/accounts/$accountId/overview, /reports, /ledger, /recommendations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Router params/search, Query hydration, Table, Form</w:t>
            </w:r>
          </w:p>
        </w:tc>
        <w:tc>
          <w:tcPr>
            <w:tcW w:type="dxa" w:w="2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Customer can understand month-to-date performance and download an approved report in under 3 minutes.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Account Manager Cockpit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/internal/accounts, /internal/accounts/$accountId/review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Router authenticated routes, Query mutations, Table selection, DB collections</w:t>
            </w:r>
          </w:p>
        </w:tc>
        <w:tc>
          <w:tcPr>
            <w:tcW w:type="dxa" w:w="2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Account manager can review exceptions, approve report, and capture customer follow-up without spreadsheets.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Operations Dashboard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/internal/dispatch, /internal/facilities, /internal/exceptions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Virtualized tables, controlled filters, live queries</w:t>
            </w:r>
          </w:p>
        </w:tc>
        <w:tc>
          <w:tcPr>
            <w:tcW w:type="dxa" w:w="2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Teams can triage high-priority exceptions without full-page reloads or stale state.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Recommendation Center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/recommendations, /recommendations/$id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Query, Form approval, Store for review workflow</w:t>
            </w:r>
          </w:p>
        </w:tc>
        <w:tc>
          <w:tcPr>
            <w:tcW w:type="dxa" w:w="2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Every recommendation has expected value, confidence, source events, approval state, and rollback path.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Admin and Governance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/admin/calculations, /admin/roles, /admin/sources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Protected routes, validated forms, audit tables</w:t>
            </w:r>
          </w:p>
        </w:tc>
        <w:tc>
          <w:tcPr>
            <w:tcW w:type="dxa" w:w="2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Calculation factors, role grants, and source mappings are versioned and auditable.</w:t>
            </w:r>
          </w:p>
        </w:tc>
      </w:tr>
    </w:tbl>
    <w:p>
      <w:pPr>
        <w:spacing w:after="80"/>
      </w:pPr>
    </w:p>
    <w:p>
      <w:pPr>
        <w:pStyle w:val="Heading1"/>
      </w:pPr>
      <w:r>
        <w:t>7. Engineering Standards</w:t>
      </w:r>
    </w:p>
    <w:p>
      <w:pPr>
        <w:pStyle w:val="ListBullet"/>
        <w:spacing w:after="80"/>
      </w:pPr>
      <w:r>
        <w:t>TypeScript strict mode is mandatory. No untyped payload crosses the API boundary.</w:t>
      </w:r>
    </w:p>
    <w:p>
      <w:pPr>
        <w:pStyle w:val="ListBullet"/>
        <w:spacing w:after="80"/>
      </w:pPr>
      <w:r>
        <w:t>All route params and search params are validated. Invalid URL state degrades gracefully.</w:t>
      </w:r>
    </w:p>
    <w:p>
      <w:pPr>
        <w:pStyle w:val="ListBullet"/>
        <w:spacing w:after="80"/>
      </w:pPr>
      <w:r>
        <w:t>Every query key uses a centralized factory. Cache invalidation is reviewed like database schema design.</w:t>
      </w:r>
    </w:p>
    <w:p>
      <w:pPr>
        <w:pStyle w:val="ListBullet"/>
        <w:spacing w:after="80"/>
      </w:pPr>
      <w:r>
        <w:t>Every mutation has idempotency, optimistic UI rules, error recovery, and audit logging where customer-visible state changes.</w:t>
      </w:r>
    </w:p>
    <w:p>
      <w:pPr>
        <w:pStyle w:val="ListBullet"/>
        <w:spacing w:after="80"/>
      </w:pPr>
      <w:r>
        <w:t>Every table has an explicit empty state, loading state, error state, pagination/virtualization strategy, and saved-view behavior.</w:t>
      </w:r>
    </w:p>
    <w:p>
      <w:pPr>
        <w:pStyle w:val="ListBullet"/>
        <w:spacing w:after="80"/>
      </w:pPr>
      <w:r>
        <w:t>Every reportable metric has source lineage, calculation version, measured/estimated flag, and owner.</w:t>
      </w:r>
    </w:p>
    <w:p>
      <w:pPr>
        <w:pStyle w:val="ListBullet"/>
        <w:spacing w:after="80"/>
      </w:pPr>
      <w:r>
        <w:t>Every feature has instrumentation before launch: latency, error rate, adoption, completion rate, and business-value events.</w:t>
      </w:r>
    </w:p>
    <w:p>
      <w:pPr>
        <w:pStyle w:val="ListBullet"/>
        <w:spacing w:after="80"/>
      </w:pPr>
      <w:r>
        <w:t>Accessibility, keyboard navigation, and responsive behavior are release gates, not polish tasks.</w:t>
      </w:r>
    </w:p>
    <w:p>
      <w:pPr>
        <w:pStyle w:val="Heading1"/>
      </w:pPr>
      <w:r>
        <w:t>8. Test and Verification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400"/>
        <w:gridCol w:w="326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Layer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Tests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Release-blocking examples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Data ingestion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Schema validation, duplicate detection, replay tests, reconciliation, late-event tests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Scale ticket missing account mapping; duplicate route events; event totals do not reconcile.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Ledger and calculations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Golden datasets, factor-version tests, measured vs. estimated tests, audit-trail tests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Customer report cannot trace a metric to source events or factor version.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TanStack app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Route tests, search-param tests, query-cache tests, mutation rollback tests, table state tests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User sees wrong account data after navigation; stale report appears after approval.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Security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Tenant isolation, role tests, object authorization, audit logs, penetration testing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Customer A can infer Customer B data through URL, cache, export, or API.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UX and workflow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Task completion, support scripts, pilot user testing, accessibility checks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Account manager needs spreadsheet workaround for approved MVP workflow.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Operations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Load tests, failover, backup restore, observability drills, incident runbooks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Report jobs silently fail; event backlog grows without alerting.</w:t>
            </w:r>
          </w:p>
        </w:tc>
      </w:tr>
    </w:tbl>
    <w:p>
      <w:pPr>
        <w:spacing w:after="80"/>
      </w:pPr>
    </w:p>
    <w:p>
      <w:pPr>
        <w:pStyle w:val="Heading1"/>
      </w:pPr>
      <w:r>
        <w:t>9. Staffing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5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Role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Phase intensity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Responsibilities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Executive sponsor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High in Phases 0, 6, 7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Set mandate, approve scope, unblock organizational decisions, own commercial stakes.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Product lead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High throughout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Own roadmap, user research, prioritization, acceptance, launch plan, and value metrics.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Engineering lead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High throughout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Own architecture, delivery model, code quality, reliability, and technical tradeoffs.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Data architect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Highest in Phases 1-3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Design ledger, source contracts, reconciliation, lineage, and data-quality strategy.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Frontend/TanStack engineers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Highest in Phases 3-5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Build routes, tables, forms, query patterns, app shell, and role-specific workflows.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Backend/platform engineers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Highest in Phases 2-6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Build ingestion, APIs, server functions, queues, reports, auth integration, and observability.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Operations SMEs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High in Phases 1, 4, 6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Validate workflows, exception handling, dispatch/facility needs, and adoption risks.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Compliance/security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Review gates each phase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Approve claims, data exposure, auditability, privacy, and access control.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Customer success/sales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High in Phases 4-8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Pilot customers, packaging, demos, renewals, adoption, and commercial proof.</w:t>
            </w:r>
          </w:p>
        </w:tc>
      </w:tr>
    </w:tbl>
    <w:p>
      <w:pPr>
        <w:spacing w:after="80"/>
      </w:pPr>
    </w:p>
    <w:p>
      <w:pPr>
        <w:pStyle w:val="Heading1"/>
      </w:pPr>
      <w:r>
        <w:t>10. Risk Controls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600"/>
        <w:gridCol w:w="44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1F0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Risk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1F0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Early warning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1F0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Control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TanStack Start maturity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Framework churn, plugin changes, migration friction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Pin versions, isolate framework-specific code, maintain a Router/Query-compatible fallback, and upgrade only at phase boundaries.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Data trust failure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Manual corrections dominate reports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Block customer expansion until ledger reconciliation and source ownership are stable.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Dashboard without behavior change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Users view pages but keep old spreadsheets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Define task completion as the adoption metric, not page visits.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Overpromised sustainability claims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Marketing language outruns calculation certainty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Use approved claim templates and measured/estimated labels.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AI before data maturity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Model demos look impressive but fail real reviews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AI cannot enter customer workflow until event lineage and human approval are proven.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Enterprise integration drag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Legacy source systems slow delivery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Use thin source adapters and reconcile in the ledger instead of redesigning source systems.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Support explosion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Every customer wants custom report edits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Create template governance, premium advisory tier, and strict report-variant rules.</w:t>
            </w:r>
          </w:p>
        </w:tc>
      </w:tr>
    </w:tbl>
    <w:p>
      <w:pPr>
        <w:spacing w:after="80"/>
      </w:pPr>
    </w:p>
    <w:p>
      <w:pPr>
        <w:pStyle w:val="Heading1"/>
      </w:pPr>
      <w:r>
        <w:t>11. Metrics That Decide Whether This Wins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4200"/>
        <w:gridCol w:w="2160"/>
      </w:tblGrid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Metric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Target interpretation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Owner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Manual reporting hours avoided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Core MVP value; should drop materially for pilot accounts.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Product + account management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Ledger reconciliation confidence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Trust gate; should be high before customer-scale reporting.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Data owner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Customer report downloads and shares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Proof that customers treat the platform as useful evidence.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Customer success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Recommendations accepted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Proof that analytics create operational action.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Operations + product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Hauls avoided or right-sized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Direct margin and customer-cost lever.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Operations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Premium attach rate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Commercial proof for analytics/reporting tier.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Sales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Churn delta for enrolled accounts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Strategic retention proof.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Executive sponsor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Support tickets per active account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Scale readiness signal.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Customer success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P95 route/page latency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App-quality signal for heavy operational workflows.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Engineering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Security/access incidents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Must remain zero for cross-customer exposure.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B2545"/>
                <w:sz w:val="18"/>
              </w:rPr>
              <w:t>Security</w:t>
            </w:r>
          </w:p>
        </w:tc>
      </w:tr>
    </w:tbl>
    <w:p>
      <w:pPr>
        <w:spacing w:after="80"/>
      </w:pPr>
    </w:p>
    <w:p>
      <w:pPr>
        <w:pStyle w:val="Heading1"/>
      </w:pPr>
      <w:r>
        <w:t>12. Practical First 30 Days</w:t>
      </w:r>
    </w:p>
    <w:p>
      <w:pPr>
        <w:pStyle w:val="ListNumber"/>
        <w:spacing w:after="80"/>
      </w:pPr>
      <w:r>
        <w:t>Name the executive sponsor, product lead, engineering lead, data owner, compliance reviewer, and pilot operations lead.</w:t>
      </w:r>
    </w:p>
    <w:p>
      <w:pPr>
        <w:pStyle w:val="ListNumber"/>
        <w:spacing w:after="80"/>
      </w:pPr>
      <w:r>
        <w:t>Choose one pilot region and 20-50 candidate accounts with compactors, recurring service, recycling, and enough ticket history.</w:t>
      </w:r>
    </w:p>
    <w:p>
      <w:pPr>
        <w:pStyle w:val="ListNumber"/>
        <w:spacing w:after="80"/>
      </w:pPr>
      <w:r>
        <w:t>Pull three months of route, scale, invoice, transfer/WTE/MRF/landfill, and account data for 10 representative accounts.</w:t>
      </w:r>
    </w:p>
    <w:p>
      <w:pPr>
        <w:pStyle w:val="ListNumber"/>
        <w:spacing w:after="80"/>
      </w:pPr>
      <w:r>
        <w:t>Create the first canonical material event model and reconcile it against invoices and facility totals.</w:t>
      </w:r>
    </w:p>
    <w:p>
      <w:pPr>
        <w:pStyle w:val="ListNumber"/>
        <w:spacing w:after="80"/>
      </w:pPr>
      <w:r>
        <w:t>Design static customer report mockups and review them with account managers and two friendly customers.</w:t>
      </w:r>
    </w:p>
    <w:p>
      <w:pPr>
        <w:pStyle w:val="ListNumber"/>
        <w:spacing w:after="80"/>
      </w:pPr>
      <w:r>
        <w:t>Scaffold the TanStack Start app shell, route tree, auth stub, query-key conventions, table primitives, and CI pipeline.</w:t>
      </w:r>
    </w:p>
    <w:p>
      <w:pPr>
        <w:pStyle w:val="ListNumber"/>
        <w:spacing w:after="80"/>
      </w:pPr>
      <w:r>
        <w:t>Hold the first gate review: continue only if the data can plausibly produce trusted customer reports.</w:t>
      </w:r>
    </w:p>
    <w:p>
      <w:pPr>
        <w:pStyle w:val="Heading1"/>
      </w:pPr>
      <w:r>
        <w:t>13. Source Notes</w:t>
      </w:r>
    </w:p>
    <w:p>
      <w:pPr>
        <w:pStyle w:val="ListBullet"/>
        <w:spacing w:after="60"/>
      </w:pPr>
      <w:r>
        <w:t xml:space="preserve">TanStack Start official documentation: </w:t>
      </w:r>
      <w:hyperlink r:id="rId11">
        <w:r>
          <w:rPr>
            <w:color w:val="0563C1"/>
            <w:u w:val="single"/>
          </w:rPr>
          <w:t>https://tanstack.com/start/latest</w:t>
        </w:r>
      </w:hyperlink>
    </w:p>
    <w:p>
      <w:pPr>
        <w:pStyle w:val="ListBullet"/>
        <w:spacing w:after="60"/>
      </w:pPr>
      <w:r>
        <w:t xml:space="preserve">TanStack Start routing guide: </w:t>
      </w:r>
      <w:hyperlink r:id="rId12">
        <w:r>
          <w:rPr>
            <w:color w:val="0563C1"/>
            <w:u w:val="single"/>
          </w:rPr>
          <w:t>https://tanstack.com/start/latest/docs/framework/react/guide/routing</w:t>
        </w:r>
      </w:hyperlink>
    </w:p>
    <w:p>
      <w:pPr>
        <w:pStyle w:val="ListBullet"/>
        <w:spacing w:after="60"/>
      </w:pPr>
      <w:r>
        <w:t xml:space="preserve">TanStack Router official documentation: </w:t>
      </w:r>
      <w:hyperlink r:id="rId13">
        <w:r>
          <w:rPr>
            <w:color w:val="0563C1"/>
            <w:u w:val="single"/>
          </w:rPr>
          <w:t>https://tanstack.com/router/latest/docs</w:t>
        </w:r>
      </w:hyperlink>
    </w:p>
    <w:p>
      <w:pPr>
        <w:pStyle w:val="ListBullet"/>
        <w:spacing w:after="60"/>
      </w:pPr>
      <w:r>
        <w:t xml:space="preserve">TanStack Router and Query integration: </w:t>
      </w:r>
      <w:hyperlink r:id="rId14">
        <w:r>
          <w:rPr>
            <w:color w:val="0563C1"/>
            <w:u w:val="single"/>
          </w:rPr>
          <w:t>https://tanstack.com/router/latest/docs/integrations/query</w:t>
        </w:r>
      </w:hyperlink>
    </w:p>
    <w:p>
      <w:pPr>
        <w:pStyle w:val="ListBullet"/>
        <w:spacing w:after="60"/>
      </w:pPr>
      <w:r>
        <w:t xml:space="preserve">TanStack DB quick start: </w:t>
      </w:r>
      <w:hyperlink r:id="rId15">
        <w:r>
          <w:rPr>
            <w:color w:val="0563C1"/>
            <w:u w:val="single"/>
          </w:rPr>
          <w:t>https://tanstack.com/db/latest/docs/quick-start</w:t>
        </w:r>
      </w:hyperlink>
    </w:p>
    <w:p>
      <w:pPr>
        <w:pStyle w:val="ListBullet"/>
        <w:spacing w:after="60"/>
      </w:pPr>
      <w:r>
        <w:t xml:space="preserve">TanStack Table overview: </w:t>
      </w:r>
      <w:hyperlink r:id="rId16">
        <w:r>
          <w:rPr>
            <w:color w:val="0563C1"/>
            <w:u w:val="single"/>
          </w:rPr>
          <w:t>https://tanstack.com/table/beta/docs/overview</w:t>
        </w:r>
      </w:hyperlink>
    </w:p>
    <w:p>
      <w:pPr>
        <w:pStyle w:val="ListBullet"/>
        <w:spacing w:after="60"/>
      </w:pPr>
      <w:r>
        <w:t xml:space="preserve">TanStack Virtual documentation: </w:t>
      </w:r>
      <w:hyperlink r:id="rId17">
        <w:r>
          <w:rPr>
            <w:color w:val="0563C1"/>
            <w:u w:val="single"/>
          </w:rPr>
          <w:t>https://tanstack.com/virtual/latest/docs</w:t>
        </w:r>
      </w:hyperlink>
    </w:p>
    <w:p>
      <w:pPr>
        <w:pStyle w:val="ListBullet"/>
        <w:spacing w:after="60"/>
      </w:pPr>
      <w:r>
        <w:t xml:space="preserve">TanStack Form validation guide: </w:t>
      </w:r>
      <w:hyperlink r:id="rId18">
        <w:r>
          <w:rPr>
            <w:color w:val="0563C1"/>
            <w:u w:val="single"/>
          </w:rPr>
          <w:t>https://tanstack.com/form/v1/docs/framework/react/guides/validation</w:t>
        </w:r>
      </w:hyperlink>
    </w:p>
    <w:p>
      <w:pPr>
        <w:pStyle w:val="ListBullet"/>
        <w:spacing w:after="60"/>
      </w:pPr>
      <w:r>
        <w:t xml:space="preserve">WIN Waste homepage: </w:t>
      </w:r>
      <w:hyperlink r:id="rId19">
        <w:r>
          <w:rPr>
            <w:color w:val="0563C1"/>
            <w:u w:val="single"/>
          </w:rPr>
          <w:t>https://www.win-waste.com/</w:t>
        </w:r>
      </w:hyperlink>
    </w:p>
    <w:p>
      <w:pPr>
        <w:pStyle w:val="ListBullet"/>
        <w:spacing w:after="60"/>
      </w:pPr>
      <w:r>
        <w:t xml:space="preserve">WIN Waste Green by Design: </w:t>
      </w:r>
      <w:hyperlink r:id="rId20">
        <w:r>
          <w:rPr>
            <w:color w:val="0563C1"/>
            <w:u w:val="single"/>
          </w:rPr>
          <w:t>https://www.win-waste.com/green-by-design/</w:t>
        </w:r>
      </w:hyperlink>
    </w:p>
    <w:p>
      <w:pPr>
        <w:pStyle w:val="ListBullet"/>
        <w:spacing w:after="60"/>
      </w:pPr>
      <w:r>
        <w:t xml:space="preserve">WIN Waste Sustainability Report: </w:t>
      </w:r>
      <w:hyperlink r:id="rId21">
        <w:r>
          <w:rPr>
            <w:color w:val="0563C1"/>
            <w:u w:val="single"/>
          </w:rPr>
          <w:t>https://www.win-waste.com/community-and-responsibility/sustainability-report/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574"/>
        <w:sz w:val="18"/>
      </w:rPr>
      <w:t>World-class execution blueprint | Prepared June 9,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C6574"/>
        <w:sz w:val="18"/>
      </w:rPr>
      <w:t>WIN Material Intelligence Cloud | TanStack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anstack.com/start/latest" TargetMode="External"/><Relationship Id="rId12" Type="http://schemas.openxmlformats.org/officeDocument/2006/relationships/hyperlink" Target="https://tanstack.com/start/latest/docs/framework/react/guide/routing" TargetMode="External"/><Relationship Id="rId13" Type="http://schemas.openxmlformats.org/officeDocument/2006/relationships/hyperlink" Target="https://tanstack.com/router/latest/docs" TargetMode="External"/><Relationship Id="rId14" Type="http://schemas.openxmlformats.org/officeDocument/2006/relationships/hyperlink" Target="https://tanstack.com/router/latest/docs/integrations/query" TargetMode="External"/><Relationship Id="rId15" Type="http://schemas.openxmlformats.org/officeDocument/2006/relationships/hyperlink" Target="https://tanstack.com/db/latest/docs/quick-start" TargetMode="External"/><Relationship Id="rId16" Type="http://schemas.openxmlformats.org/officeDocument/2006/relationships/hyperlink" Target="https://tanstack.com/table/beta/docs/overview" TargetMode="External"/><Relationship Id="rId17" Type="http://schemas.openxmlformats.org/officeDocument/2006/relationships/hyperlink" Target="https://tanstack.com/virtual/latest/docs" TargetMode="External"/><Relationship Id="rId18" Type="http://schemas.openxmlformats.org/officeDocument/2006/relationships/hyperlink" Target="https://tanstack.com/form/v1/docs/framework/react/guides/validation" TargetMode="External"/><Relationship Id="rId19" Type="http://schemas.openxmlformats.org/officeDocument/2006/relationships/hyperlink" Target="https://www.win-waste.com/" TargetMode="External"/><Relationship Id="rId20" Type="http://schemas.openxmlformats.org/officeDocument/2006/relationships/hyperlink" Target="https://www.win-waste.com/green-by-design/" TargetMode="External"/><Relationship Id="rId21" Type="http://schemas.openxmlformats.org/officeDocument/2006/relationships/hyperlink" Target="https://www.win-waste.com/community-and-responsibility/sustainability-re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