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Cheeger Bottleneck Priority: Method Note</w:t>
      </w:r>
    </w:p>
    <w:p>
      <w:pPr>
        <w:pStyle w:val="Author"/>
      </w:pPr>
      <w:r>
        <w:t xml:space="preserve">Urban Heat Democratization</w:t>
      </w:r>
    </w:p>
    <w:bookmarkStart w:id="16" w:name="cheeger-bottleneck-priority"/>
    <w:p>
      <w:pPr>
        <w:pStyle w:val="Heading1"/>
      </w:pPr>
      <w:r>
        <w:t xml:space="preserve">Cheeger bottleneck priority</w:t>
      </w:r>
    </w:p>
    <w:bookmarkStart w:id="9" w:name="plain-language-purpose"/>
    <w:p>
      <w:pPr>
        <w:pStyle w:val="Heading2"/>
      </w:pPr>
      <w:r>
        <w:t xml:space="preserve">Plain-language purpose</w:t>
      </w:r>
    </w:p>
    <w:p>
      <w:pPr>
        <w:pStyle w:val="FirstParagraph"/>
      </w:pPr>
      <w:r>
        <w:t xml:space="preserve">This layer marks places where the modeled urban heat-and-cooling network is weakly connected. It is a</w:t>
      </w:r>
      <w:r>
        <w:t xml:space="preserve"> </w:t>
      </w:r>
      <w:r>
        <w:rPr>
          <w:b/>
          <w:bCs/>
        </w:rPr>
        <w:t xml:space="preserve">prioritization signal</w:t>
      </w:r>
      <w:r>
        <w:t xml:space="preserve">, not a diagnosis of any person, block, or neighborhood.</w:t>
      </w:r>
    </w:p>
    <w:bookmarkEnd w:id="9"/>
    <w:bookmarkStart w:id="10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t xml:space="preserve">A land-surface-temperature raster, normalized to a 0–1 scale.</w:t>
      </w:r>
    </w:p>
    <w:p>
      <w:pPr>
        <w:pStyle w:val="Compact"/>
        <w:numPr>
          <w:ilvl w:val="0"/>
          <w:numId w:val="1001"/>
        </w:numPr>
      </w:pPr>
      <w:r>
        <w:t xml:space="preserve">An optional vegetation index (NDVI), also normalized to 0–1.</w:t>
      </w:r>
    </w:p>
    <w:p>
      <w:pPr>
        <w:pStyle w:val="Compact"/>
        <w:numPr>
          <w:ilvl w:val="0"/>
          <w:numId w:val="1001"/>
        </w:numPr>
      </w:pPr>
      <w:r>
        <w:t xml:space="preserve">Valid raster cells, joined to their four or eight neighboring cells.</w:t>
      </w:r>
    </w:p>
    <w:bookmarkEnd w:id="10"/>
    <w:bookmarkStart w:id="11" w:name="step-1-build-a-weighted-graph"/>
    <w:p>
      <w:pPr>
        <w:pStyle w:val="Heading2"/>
      </w:pPr>
      <w:r>
        <w:t xml:space="preserve">Step 1 — build a weighted graph</w:t>
      </w:r>
    </w:p>
    <w:p>
      <w:pPr>
        <w:pStyle w:val="FirstParagraph"/>
      </w:pPr>
      <w:r>
        <w:t xml:space="preserve">Every valid raster cell becomes a node. Neighboring cells are joined by an edge with conductance</w:t>
      </w:r>
    </w:p>
    <w:p>
      <w:pPr>
        <w:pStyle w:val="BodyText"/>
      </w:pPr>
      <w:r>
        <w:rPr>
          <w:rStyle w:val="VerbatimChar"/>
        </w:rPr>
        <w:t xml:space="preserve">w_ij = exp(-alpha × g_ij) × (1 + beta × NDVI_ij)</w:t>
      </w:r>
      <w:r>
        <w:t xml:space="preserve">.</w:t>
      </w:r>
    </w:p>
    <w:p>
      <w:pPr>
        <w:pStyle w:val="BodyText"/>
      </w:pPr>
      <w:r>
        <w:t xml:space="preserve">Here</w:t>
      </w:r>
      <w:r>
        <w:t xml:space="preserve"> </w:t>
      </w:r>
      <w:r>
        <w:rPr>
          <w:rStyle w:val="VerbatimChar"/>
        </w:rPr>
        <w:t xml:space="preserve">g_ij</w:t>
      </w:r>
      <w:r>
        <w:t xml:space="preserve"> </w:t>
      </w:r>
      <w:r>
        <w:t xml:space="preserve">is the mean local temperature-gradient magnitude across the two cells. Sharp heat changes lower conductance; greener connections can raise it. The published pipeline defaults are</w:t>
      </w:r>
      <w:r>
        <w:t xml:space="preserve"> </w:t>
      </w:r>
      <w:r>
        <w:rPr>
          <w:rStyle w:val="VerbatimChar"/>
        </w:rPr>
        <w:t xml:space="preserve">alpha = 3.0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 = 0.6</w:t>
      </w:r>
      <w:r>
        <w:t xml:space="preserve">.</w:t>
      </w:r>
    </w:p>
    <w:bookmarkEnd w:id="11"/>
    <w:bookmarkStart w:id="12" w:name="step-2-find-the-mathematically-weak-seam"/>
    <w:p>
      <w:pPr>
        <w:pStyle w:val="Heading2"/>
      </w:pPr>
      <w:r>
        <w:t xml:space="preserve">Step 2 — find the mathematically weak seam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be the weighted adjacency matrix and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the diagonal degree matrix. The normalized graph Laplacian is</w:t>
      </w:r>
    </w:p>
    <w:p>
      <w:pPr>
        <w:pStyle w:val="BodyText"/>
      </w:pPr>
      <w:r>
        <w:rPr>
          <w:rStyle w:val="VerbatimChar"/>
        </w:rPr>
        <w:t xml:space="preserve">L_norm = D^(-1/2) (D - A) D^(-1/2)</w:t>
      </w:r>
      <w:r>
        <w:t xml:space="preserve">.</w:t>
      </w:r>
    </w:p>
    <w:p>
      <w:pPr>
        <w:pStyle w:val="BodyText"/>
      </w:pPr>
      <w:r>
        <w:t xml:space="preserve">We compute its second-smallest eigenvalue and corresponding Fiedler vector. Sorting cells by that vector produces candidate partitions. For each candidate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, the pipeline calculates conductance</w:t>
      </w:r>
    </w:p>
    <w:p>
      <w:pPr>
        <w:pStyle w:val="BodyText"/>
      </w:pPr>
      <w:r>
        <w:rPr>
          <w:rStyle w:val="VerbatimChar"/>
        </w:rPr>
        <w:t xml:space="preserve">phi(S) = cut(S, Sᶜ) / min(vol(S), vol(Sᶜ))</w:t>
      </w:r>
      <w:r>
        <w:t xml:space="preserve">.</w:t>
      </w:r>
    </w:p>
    <w:p>
      <w:pPr>
        <w:pStyle w:val="BodyText"/>
      </w:pPr>
      <w:r>
        <w:t xml:space="preserve">The lowest-conductance sweep cut is the Cheeger-style bottleneck. The displayed cells are the boundary of that cut, expanded slightly for a readable geographic output.</w:t>
      </w:r>
    </w:p>
    <w:bookmarkEnd w:id="12"/>
    <w:bookmarkStart w:id="13" w:name="step-3-turn-a-seam-into-a-priority"/>
    <w:p>
      <w:pPr>
        <w:pStyle w:val="Heading2"/>
      </w:pPr>
      <w:r>
        <w:t xml:space="preserve">Step 3 — turn a seam into a priority</w:t>
      </w:r>
    </w:p>
    <w:p>
      <w:pPr>
        <w:pStyle w:val="FirstParagraph"/>
      </w:pPr>
      <w:r>
        <w:t xml:space="preserve">Only cells on the bottleneck boundary receive a priority score:</w:t>
      </w:r>
    </w:p>
    <w:p>
      <w:pPr>
        <w:pStyle w:val="BodyText"/>
      </w:pPr>
      <w:r>
        <w:rPr>
          <w:rStyle w:val="VerbatimChar"/>
        </w:rPr>
        <w:t xml:space="preserve">priority = 0.65 × normalized_heat + 0.35 × (1 - cooling_access)</w:t>
      </w:r>
      <w:r>
        <w:t xml:space="preserve">.</w:t>
      </w:r>
    </w:p>
    <w:p>
      <w:pPr>
        <w:pStyle w:val="BodyText"/>
      </w:pPr>
      <w:r>
        <w:t xml:space="preserve">The value is clipped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and exported on a 0–100 display scale. The score says</w:t>
      </w:r>
      <w:r>
        <w:t xml:space="preserve"> </w:t>
      </w:r>
      <w:r>
        <w:rPr>
          <w:b/>
          <w:bCs/>
        </w:rPr>
        <w:t xml:space="preserve">where to investigate first</w:t>
      </w:r>
      <w:r>
        <w:t xml:space="preserve">, not that an intervention will produce a particular temperature reduction.</w:t>
      </w:r>
    </w:p>
    <w:bookmarkEnd w:id="13"/>
    <w:bookmarkStart w:id="14" w:name="how-to-interpret-responsibly"/>
    <w:p>
      <w:pPr>
        <w:pStyle w:val="Heading2"/>
      </w:pPr>
      <w:r>
        <w:t xml:space="preserve">How to interpret responsibly</w:t>
      </w:r>
    </w:p>
    <w:p>
      <w:pPr>
        <w:pStyle w:val="Compact"/>
        <w:numPr>
          <w:ilvl w:val="0"/>
          <w:numId w:val="1002"/>
        </w:numPr>
      </w:pPr>
      <w:r>
        <w:t xml:space="preserve">Compare with local shade, housing, health, access, and community knowledge before acting.</w:t>
      </w:r>
    </w:p>
    <w:p>
      <w:pPr>
        <w:pStyle w:val="Compact"/>
        <w:numPr>
          <w:ilvl w:val="0"/>
          <w:numId w:val="1002"/>
        </w:numPr>
      </w:pPr>
      <w:r>
        <w:t xml:space="preserve">A low-conductance result can reflect raster resolution, missing cells, or parameter choices.</w:t>
      </w:r>
    </w:p>
    <w:p>
      <w:pPr>
        <w:pStyle w:val="Compact"/>
        <w:numPr>
          <w:ilvl w:val="0"/>
          <w:numId w:val="1002"/>
        </w:numPr>
      </w:pPr>
      <w:r>
        <w:t xml:space="preserve">The result is not a causal estimate, exposure measurement, or individual-level risk score.</w:t>
      </w:r>
    </w:p>
    <w:bookmarkEnd w:id="14"/>
    <w:bookmarkStart w:id="15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core/graph.py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core/spectra.py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core/pipeline.py</w:t>
      </w:r>
      <w:r>
        <w:t xml:space="preserve">. Run configuration, input dates, raster resolution, missing-data treatment, and parameters must accompany any public claim.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Cheeger Bottleneck Priority: Method Note</dc:title>
  <dc:creator>Urban Heat Democratization</dc:creator>
  <cp:keywords/>
  <dcterms:created xsi:type="dcterms:W3CDTF">2026-08-24T06:31:28Z</dcterms:created>
  <dcterms:modified xsi:type="dcterms:W3CDTF">2026-08-24T06:31:28Z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