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40"/>
              <w:left w:type="dxa" w:w="200"/>
              <w:bottom w:type="dxa" w:w="1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RETAILVISTA PVT. LTD.</w:t>
            </w:r>
          </w:p>
          <w:p>
            <w:r>
              <w:rPr>
                <w:rFonts w:ascii="Arial" w:cs="Arial" w:eastAsia="Arial" w:hAnsi="Arial"/>
                <w:color w:val="AABBCC"/>
                <w:sz w:val="19"/>
                <w:szCs w:val="19"/>
              </w:rPr>
              <w:t xml:space="preserve">Board Meeting Brief  |  Strategy &amp; Profitability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June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4010"/>
                <w:sz w:val="17"/>
                <w:szCs w:val="17"/>
              </w:rPr>
              <w:t xml:space="preserve">CONFIDENTIAL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80"/>
        <w:gridCol w:w="3060"/>
        <w:gridCol w:w="18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Bdr>
                <w:bottom w:val="single" w:color="C9A84C" w:sz="4" w:space="2"/>
              </w:pBd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BUSINESS SNAPSHOT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Current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Multi-channel retail presence across Tier 1–3 India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Omnichannel channels operating in silos — inventory &amp; pricing misaligned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Private label penetration below industry benchmark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AI/data adoption nascent; no systematic demand forecasting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Uneven store-level profitability; some locations below return thresholds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Elevated reverse-logistics costs eroding per-order margins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Customer Segments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High-Value Loyalists — ~20% of customers, ~55% of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Deal-Driven Buyers — ~40%; low stickiness outside promotions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Occasional Shoppers — ~40%; low repeat rate, conversion potential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Key Risks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8"/>
                <w:szCs w:val="18"/>
              </w:rPr>
              <w:t xml:space="preserve">Margin compression from marketplace price wars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8"/>
                <w:szCs w:val="18"/>
              </w:rPr>
              <w:t xml:space="preserve">Technology lag vs. better-capitalised competitors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8"/>
                <w:szCs w:val="18"/>
              </w:rPr>
              <w:t xml:space="preserve">Inventory mismanagement without AI forecasting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7F1D1D"/>
                <w:sz w:val="18"/>
                <w:szCs w:val="18"/>
              </w:rPr>
              <w:t xml:space="preserve">Talent gap in data science &amp; supply chain</w:t>
            </w:r>
          </w:p>
        </w:tc>
        <w:tc>
          <w:tcPr>
            <w:tcW w:type="dxa" w:w="180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Bdr>
                <w:bottom w:val="single" w:color="C9A84C" w:sz="4" w:space="2"/>
              </w:pBd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TOP 3 RECOMMENDATIONS</w:t>
            </w:r>
          </w:p>
          <w:tbl>
            <w:tblPr>
              <w:tblW w:type="dxa" w:w="2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60"/>
            </w:tblGrid>
            <w:tr>
              <w:tc>
                <w:tcPr>
                  <w:tcW w:type="dxa" w:w="2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EF9E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18"/>
                      <w:szCs w:val="18"/>
                    </w:rPr>
                    <w:t xml:space="preserve">① OMNICHANNEL INTEGRATION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Priority: HIGH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8"/>
                      <w:szCs w:val="18"/>
                    </w:rPr>
                    <w:t xml:space="preserve">Unify inventory, pricing &amp; fulfilment across online and offline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8"/>
                      <w:szCs w:val="18"/>
                    </w:rPr>
                    <w:t xml:space="preserve">Enable buy-online-pickup-in-store (BOPIS) &amp; return-in-store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8"/>
                      <w:szCs w:val="18"/>
                    </w:rPr>
                    <w:t xml:space="preserve">Expected outcome: higher conversion, fewer stockouts, stronger repeat purchase</w:t>
                  </w:r>
                </w:p>
              </w:tc>
            </w:tr>
          </w:tbl>
          <w:p>
            <w:pPr>
              <w:spacing w:after="0" w:before="100"/>
            </w:pPr>
            <w:r>
              <w:t xml:space="preserve"/>
            </w:r>
          </w:p>
          <w:tbl>
            <w:tblPr>
              <w:tblW w:type="dxa" w:w="2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60"/>
            </w:tblGrid>
            <w:tr>
              <w:tc>
                <w:tcPr>
                  <w:tcW w:type="dxa" w:w="2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EF9E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18"/>
                      <w:szCs w:val="18"/>
                    </w:rPr>
                    <w:t xml:space="preserve">② PRIVATE LABEL EXPANSION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Priority: HIGH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8"/>
                      <w:szCs w:val="18"/>
                    </w:rPr>
                    <w:t xml:space="preserve">Target 25–30% private label penetration within 3 years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8"/>
                      <w:szCs w:val="18"/>
                    </w:rPr>
                    <w:t xml:space="preserve">Focus: fashion basics, accessories, home goods, wellness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8"/>
                      <w:szCs w:val="18"/>
                    </w:rPr>
                    <w:t xml:space="preserve">Expected outcome: 8–15 pp gross margin uplift vs. branded SKUs</w:t>
                  </w:r>
                </w:p>
              </w:tc>
            </w:tr>
          </w:tbl>
          <w:p>
            <w:pPr>
              <w:spacing w:after="0" w:before="100"/>
            </w:pPr>
            <w:r>
              <w:t xml:space="preserve"/>
            </w:r>
          </w:p>
          <w:tbl>
            <w:tblPr>
              <w:tblW w:type="dxa" w:w="2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60"/>
            </w:tblGrid>
            <w:tr>
              <w:tc>
                <w:tcPr>
                  <w:tcW w:type="dxa" w:w="28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EF9E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18"/>
                      <w:szCs w:val="18"/>
                    </w:rPr>
                    <w:t xml:space="preserve">③ AI-DRIVEN OPERATIONS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45309"/>
                      <w:sz w:val="17"/>
                      <w:szCs w:val="17"/>
                    </w:rPr>
                    <w:t xml:space="preserve">Priority: HIGH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8"/>
                      <w:szCs w:val="18"/>
                    </w:rPr>
                    <w:t xml:space="preserve">Deploy AI for demand forecasting &amp; automated replenishment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8"/>
                      <w:szCs w:val="18"/>
                    </w:rPr>
                    <w:t xml:space="preserve">Implement markdown optimisation to cut dead stock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C2C2C"/>
                      <w:sz w:val="18"/>
                      <w:szCs w:val="18"/>
                    </w:rPr>
                    <w:t xml:space="preserve">Expected outcome: 15–20% lower inventory costs; 10–12% better sell-through</w:t>
                  </w:r>
                </w:p>
              </w:tc>
            </w:tr>
          </w:tbl>
          <w:p/>
        </w:tc>
        <w:tc>
          <w:tcPr>
            <w:tcW w:type="dxa" w:w="180"/>
            <w:tcBorders>
              <w:top w:val="none" w:color="FFFFFF" w:sz="0"/>
              <w:left w:val="single" w:color="DDDDDD" w:sz="3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Bdr>
                <w:bottom w:val="single" w:color="C9A84C" w:sz="4" w:space="2"/>
              </w:pBdr>
              <w:spacing w:after="20" w:before="100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3-YEAR ACTION PLAN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Year 1 — Fix the Foundation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Implement AI demand forecasting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Launch markdown optimisation in top 3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Audit all stores; set minimum profitability thresholds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Reduce return rate by ≥15% through QC &amp; order accuracy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Year 2 — Accelerate Margins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Launch private label lines in core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Deploy unified inventory &amp; BOPIS capabilities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Pilot localised store formats in 3–5 Tier 2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Build internal data science team or engage specialist partner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Year 3 — Scale from Strength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Expand private label to 30% of category mix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Roll out proven store formats to 15–20 new locations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Deploy AI-driven personalisation across all touchpoints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Enter 2–3 high-margin adjacent categories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Board Action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Approve Phase 1 AI &amp; omnichannel investment budget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Authorise store rationalisation review committee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Endorse private label category shortlist for Year 2 launch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15"/>
                <w:szCs w:val="15"/>
              </w:rPr>
              <w:t xml:space="preserve">Prepared by Chief Strategy Consultant, RetailVista Pvt. Ltd.  |  Based on Internal Business Analysis &amp; External Market Intelligence  |  CONFIDENTIAL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2026-06-25T07:07:54.357Z</dcterms:created>
  <dcterms:modified xsi:type="dcterms:W3CDTF">2026-06-25T07:07:54.357Z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