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d864477fee505571d1900d204b46b9e4529734"/>
    <w:p>
      <w:pPr>
        <w:pStyle w:val="Heading1"/>
      </w:pPr>
      <w:r>
        <w:t xml:space="preserve">MASTER COMMERCIAL TERMS &amp; INCENTIVE SCHEDULE</w:t>
      </w:r>
    </w:p>
    <w:p>
      <w:pPr>
        <w:pStyle w:val="FirstParagraph"/>
      </w:pPr>
      <w:r>
        <w:rPr>
          <w:b/>
          <w:bCs/>
        </w:rPr>
        <w:t xml:space="preserve">Document Reference:</w:t>
      </w:r>
      <w:r>
        <w:t xml:space="preserve"> </w:t>
      </w:r>
      <w:r>
        <w:t xml:space="preserve">B2B-INCENTIVE-V6/2026</w:t>
      </w:r>
      <w:r>
        <w:br/>
      </w:r>
      <w:r>
        <w:rPr>
          <w:b/>
          <w:bCs/>
        </w:rPr>
        <w:t xml:space="preserve">Governing Horizon:</w:t>
      </w:r>
      <w:r>
        <w:t xml:space="preserve"> </w:t>
      </w:r>
      <w:r>
        <w:t xml:space="preserve">Sixty (60) Consecutive Calendar Months from Commencement Date</w:t>
      </w:r>
      <w:r>
        <w:br/>
      </w:r>
      <w:r>
        <w:rPr>
          <w:b/>
          <w:bCs/>
        </w:rPr>
        <w:t xml:space="preserve">Operational Framework:</w:t>
      </w:r>
      <w:r>
        <w:t xml:space="preserve"> </w:t>
      </w:r>
      <w:r>
        <w:t xml:space="preserve">D+1 Daily Fulfillment Engine (Zero MOV / Zero MOQ)</w:t>
      </w:r>
      <w:r>
        <w:br/>
      </w:r>
      <w:r>
        <w:rPr>
          <w:b/>
          <w:bCs/>
        </w:rPr>
        <w:t xml:space="preserve">Applicability:</w:t>
      </w:r>
      <w:r>
        <w:t xml:space="preserve"> </w:t>
      </w:r>
      <w:r>
        <w:t xml:space="preserve">Unbranded Commodities, Staples &amp; Value-Added Wholesale FMCG Lines</w:t>
      </w:r>
    </w:p>
    <w:p>
      <w:r>
        <w:pict>
          <v:rect style="width:0;height:1.5pt" o:hralign="center" o:hrstd="t" o:hr="t"/>
        </w:pict>
      </w:r>
    </w:p>
    <w:bookmarkStart w:id="17" w:name="master-contractual-terms-legal-clauses"/>
    <w:p>
      <w:pPr>
        <w:pStyle w:val="Heading2"/>
      </w:pPr>
      <w:r>
        <w:t xml:space="preserve">1. Master Contractual Terms &amp; Legal Clauses</w:t>
      </w:r>
    </w:p>
    <w:bookmarkStart w:id="9" w:name="Xde58ae278ca45167656055570ed562982ccb5f9"/>
    <w:p>
      <w:pPr>
        <w:pStyle w:val="Heading3"/>
      </w:pPr>
      <w:r>
        <w:t xml:space="preserve">CLAUSE 1: DEFINITIONS &amp; VALUATION BENCHMARKS</w:t>
      </w:r>
    </w:p>
    <w:p>
      <w:pPr>
        <w:pStyle w:val="FirstParagraph"/>
      </w:pPr>
      <w:r>
        <w:t xml:space="preserve">1.1.</w:t>
      </w:r>
      <w:r>
        <w:t xml:space="preserve"> </w:t>
      </w:r>
      <w:r>
        <w:rPr>
          <w:b/>
          <w:bCs/>
        </w:rPr>
        <w:t xml:space="preserve">“Commencement Date”</w:t>
      </w:r>
      <w:r>
        <w:t xml:space="preserve"> </w:t>
      </w:r>
      <w:r>
        <w:t xml:space="preserve">means the date of execution or the first day of the calendar month immediately following execution, whichever is earlier.</w:t>
      </w:r>
      <w:r>
        <w:br/>
      </w:r>
      <w:r>
        <w:t xml:space="preserve">1.2.</w:t>
      </w:r>
      <w:r>
        <w:t xml:space="preserve"> </w:t>
      </w:r>
      <w:r>
        <w:rPr>
          <w:b/>
          <w:bCs/>
        </w:rPr>
        <w:t xml:space="preserve">“Eligible Gross Spend”</w:t>
      </w:r>
      <w:r>
        <w:t xml:space="preserve"> </w:t>
      </w:r>
      <w:r>
        <w:t xml:space="preserve">means the aggregate invoiced procurement value generated by the Participant, net of applicable GST, verified returns, damaged goods credit notes, and logistics charges.</w:t>
      </w:r>
      <w:r>
        <w:br/>
      </w:r>
      <w:r>
        <w:t xml:space="preserve">1.3.</w:t>
      </w:r>
      <w:r>
        <w:t xml:space="preserve"> </w:t>
      </w:r>
      <w:r>
        <w:rPr>
          <w:b/>
          <w:bCs/>
        </w:rPr>
        <w:t xml:space="preserve">“Audited EBITDA”</w:t>
      </w:r>
      <w:r>
        <w:t xml:space="preserve"> </w:t>
      </w:r>
      <w:r>
        <w:t xml:space="preserve">means the Earnings Before Interest, Taxes, Depreciation, and Amortization certified by the Company’s independent statutory auditor in its annual audited financial statements (MCA Form AOC-4).</w:t>
      </w:r>
      <w:r>
        <w:br/>
      </w:r>
      <w:r>
        <w:t xml:space="preserve">1.4.</w:t>
      </w:r>
      <w:r>
        <w:t xml:space="preserve"> </w:t>
      </w:r>
      <w:r>
        <w:rPr>
          <w:b/>
          <w:bCs/>
        </w:rPr>
        <w:t xml:space="preserve">“Baseline Valuation”</w:t>
      </w:r>
      <w:r>
        <w:t xml:space="preserve"> </w:t>
      </w:r>
      <w:r>
        <w:t xml:space="preserve">means the locked entry enterprise valuation of ₹1,08,00,000 (Rupees One Crore Eight Lakhs), established on a baseline pool of 10,00,000 (Ten Lakhs) Common Notional Units, yielding a locked</w:t>
      </w:r>
      <w:r>
        <w:t xml:space="preserve"> </w:t>
      </w:r>
      <w:r>
        <w:rPr>
          <w:b/>
          <w:bCs/>
        </w:rPr>
        <w:t xml:space="preserve">Base Strike Price of ₹10.80 per Phantom Stock Unit (PSU)</w:t>
      </w:r>
      <w:r>
        <w:t xml:space="preserve">.</w:t>
      </w:r>
      <w:r>
        <w:br/>
      </w:r>
      <w:r>
        <w:t xml:space="preserve">1.5.</w:t>
      </w:r>
      <w:r>
        <w:t xml:space="preserve"> </w:t>
      </w:r>
      <w:r>
        <w:rPr>
          <w:b/>
          <w:bCs/>
        </w:rPr>
        <w:t xml:space="preserve">“Track 1 Operational Credits”</w:t>
      </w:r>
      <w:r>
        <w:t xml:space="preserve"> </w:t>
      </w:r>
      <w:r>
        <w:t xml:space="preserve">means instant, rolling invoice-level trade discounts credited to the Participant’s digital ledger and applied to subsequent orders.</w:t>
      </w:r>
      <w:r>
        <w:br/>
      </w:r>
      <w:r>
        <w:t xml:space="preserve">1.6.</w:t>
      </w:r>
      <w:r>
        <w:t xml:space="preserve"> </w:t>
      </w:r>
      <w:r>
        <w:rPr>
          <w:b/>
          <w:bCs/>
        </w:rPr>
        <w:t xml:space="preserve">“Track 2 Phantom Stock Units (PSUs)”</w:t>
      </w:r>
      <w:r>
        <w:t xml:space="preserve"> </w:t>
      </w:r>
      <w:r>
        <w:t xml:space="preserve">means synthetic equity tracking units reflecting enterprise value appreciation, settled at Month 60.</w:t>
      </w:r>
      <w:r>
        <w:br/>
      </w:r>
      <w:r>
        <w:t xml:space="preserve">1.7.</w:t>
      </w:r>
      <w:r>
        <w:t xml:space="preserve"> </w:t>
      </w:r>
      <w:r>
        <w:rPr>
          <w:b/>
          <w:bCs/>
        </w:rPr>
        <w:t xml:space="preserve">“Authorized Customer Growth Pool”</w:t>
      </w:r>
      <w:r>
        <w:t xml:space="preserve"> </w:t>
      </w:r>
      <w:r>
        <w:t xml:space="preserve">means the hard cap of 3,00,000 (Three Lakhs) PSUs (30% of the 10,00,000 Common Notional Unit base) reserved strictly for allocation among participating commercial clients.</w:t>
      </w:r>
    </w:p>
    <w:p>
      <w:r>
        <w:pict>
          <v:rect style="width:0;height:1.5pt" o:hralign="center" o:hrstd="t" o:hr="t"/>
        </w:pict>
      </w:r>
    </w:p>
    <w:bookmarkEnd w:id="9"/>
    <w:bookmarkStart w:id="10" w:name="X4c40ef0df349f7045c91cd67be04193d005316e"/>
    <w:p>
      <w:pPr>
        <w:pStyle w:val="Heading3"/>
      </w:pPr>
      <w:r>
        <w:t xml:space="preserve">CLAUSE 2: TRACK 1 — OPERATIONAL EFFICIENCY CREDITS (IMMEDIATE REWARD)</w:t>
      </w:r>
    </w:p>
    <w:p>
      <w:pPr>
        <w:pStyle w:val="FirstParagraph"/>
      </w:pPr>
      <w:r>
        <w:t xml:space="preserve">2.1.</w:t>
      </w:r>
      <w:r>
        <w:t xml:space="preserve"> </w:t>
      </w:r>
      <w:r>
        <w:rPr>
          <w:b/>
          <w:bCs/>
        </w:rPr>
        <w:t xml:space="preserve">Accrual Mechanics:</w:t>
      </w:r>
      <w:r>
        <w:t xml:space="preserve"> </w:t>
      </w:r>
      <w:r>
        <w:t xml:space="preserve">For each qualifying order placed by the Participant and fulfilled under the Company’s D+1 delivery framework, the Participant earns rolling trade credits calculated as an invoice-level percentage deduction:</w:t>
      </w:r>
    </w:p>
    <w:p>
      <w:pPr>
        <w:pStyle w:val="BodyText"/>
      </w:pPr>
      <m:oMathPara>
        <m:oMathParaPr>
          <m:jc m:val="center"/>
        </m:oMathParaPr>
        <m:oMath>
          <m:r>
            <m:rPr>
              <m:nor/>
              <m:sty m:val="p"/>
            </m:rPr>
            <m:t>Track 1 Credit Accrued</m:t>
          </m:r>
          <m:r>
            <m:rPr>
              <m:sty m:val="p"/>
            </m:rPr>
            <m:t>=</m:t>
          </m:r>
          <m:r>
            <m:rPr>
              <m:nor/>
              <m:sty m:val="p"/>
            </m:rPr>
            <m:t>Net Taxable Invoice Value</m:t>
          </m:r>
          <m:r>
            <m:rPr>
              <m:sty m:val="p"/>
            </m:rPr>
            <m:t>×</m:t>
          </m:r>
          <m:r>
            <m:rPr>
              <m:sty m:val="p"/>
            </m:rPr>
            <m:t>(</m:t>
          </m:r>
          <m:r>
            <m:rPr>
              <m:sty m:val="p"/>
            </m:rPr>
            <m:t>%</m:t>
          </m:r>
          <m:r>
            <m:rPr>
              <m:nor/>
              <m:sty m:val="p"/>
            </m:rPr>
            <m:t> Drop Bonus</m:t>
          </m:r>
          <m:r>
            <m:rPr>
              <m:sty m:val="p"/>
            </m:rPr>
            <m:t>+</m:t>
          </m:r>
          <m:r>
            <m:rPr>
              <m:sty m:val="p"/>
            </m:rPr>
            <m:t>%</m:t>
          </m:r>
          <m:r>
            <m:rPr>
              <m:nor/>
              <m:sty m:val="p"/>
            </m:rPr>
            <m:t> Payment Bonus</m:t>
          </m:r>
          <m:r>
            <m:rPr>
              <m:sty m:val="p"/>
            </m:rPr>
            <m:t>+</m:t>
          </m:r>
          <m:r>
            <m:rPr>
              <m:sty m:val="p"/>
            </m:rPr>
            <m:t>%</m:t>
          </m:r>
          <m:r>
            <m:rPr>
              <m:nor/>
              <m:sty m:val="p"/>
            </m:rPr>
            <m:t> Basket Bonus</m:t>
          </m:r>
          <m:r>
            <m:rPr>
              <m:sty m:val="p"/>
            </m:rPr>
            <m:t>)</m:t>
          </m:r>
        </m:oMath>
      </m:oMathPara>
    </w:p>
    <w:p>
      <w:pPr>
        <w:pStyle w:val="FirstParagraph"/>
      </w:pPr>
      <w:r>
        <w:t xml:space="preserve">2.2.</w:t>
      </w:r>
      <w:r>
        <w:t xml:space="preserve"> </w:t>
      </w:r>
      <w:r>
        <w:rPr>
          <w:b/>
          <w:bCs/>
        </w:rPr>
        <w:t xml:space="preserve">Behavioral Qualification Standards:</w:t>
      </w:r>
      <w:r>
        <w:t xml:space="preserve"> </w:t>
      </w:r>
      <w:r>
        <w:t xml:space="preserve">*</w:t>
      </w:r>
      <w:r>
        <w:t xml:space="preserve"> </w:t>
      </w:r>
      <w:r>
        <w:rPr>
          <w:b/>
          <w:bCs/>
        </w:rPr>
        <w:t xml:space="preserve">Drop Batching Bonus (+0.75%):</w:t>
      </w:r>
      <w:r>
        <w:t xml:space="preserve"> </w:t>
      </w:r>
      <w:r>
        <w:t xml:space="preserve">Applied to any invoice where the single delivery value meets or exceeds ₹35,000. Orders fulfilled below this threshold receive standard free D+1 delivery but accrue 0.00% under this specific sub-clause.</w:t>
      </w:r>
      <w:r>
        <w:t xml:space="preserve"> </w:t>
      </w:r>
      <w:r>
        <w:t xml:space="preserve">*</w:t>
      </w:r>
      <w:r>
        <w:t xml:space="preserve"> </w:t>
      </w:r>
      <w:r>
        <w:rPr>
          <w:b/>
          <w:bCs/>
        </w:rPr>
        <w:t xml:space="preserve">Instant Digital Settlement Bonus (+1.00%):</w:t>
      </w:r>
      <w:r>
        <w:t xml:space="preserve"> </w:t>
      </w:r>
      <w:r>
        <w:t xml:space="preserve">Applied to invoices settled instantly via Dynamic UPI QR at the point of vehicle unloading, or via RTGS/IMPS within twenty-four (24) hours of dispatch.</w:t>
      </w:r>
      <w:r>
        <w:t xml:space="preserve"> </w:t>
      </w:r>
      <w:r>
        <w:t xml:space="preserve">*</w:t>
      </w:r>
      <w:r>
        <w:t xml:space="preserve"> </w:t>
      </w:r>
      <w:r>
        <w:rPr>
          <w:b/>
          <w:bCs/>
        </w:rPr>
        <w:t xml:space="preserve">Multi-Category Basket Bonus (+0.50%):</w:t>
      </w:r>
      <w:r>
        <w:t xml:space="preserve"> </w:t>
      </w:r>
      <w:r>
        <w:t xml:space="preserve">Applied where the invoiced delivery contains products spanning two (2) or more distinct commodity classes (e.g., Edible Oils paired with Pulses, Grains, or Spices).</w:t>
      </w:r>
    </w:p>
    <w:p>
      <w:pPr>
        <w:pStyle w:val="BodyText"/>
      </w:pPr>
      <w:r>
        <w:t xml:space="preserve">2.3.</w:t>
      </w:r>
      <w:r>
        <w:t xml:space="preserve"> </w:t>
      </w:r>
      <w:r>
        <w:rPr>
          <w:b/>
          <w:bCs/>
        </w:rPr>
        <w:t xml:space="preserve">Ledger Redemption:</w:t>
      </w:r>
      <w:r>
        <w:t xml:space="preserve"> </w:t>
      </w:r>
      <w:r>
        <w:t xml:space="preserve">Track 1 credits post to the Participant’s digital account within forty-eight (48) hours of verified payment clearance. Credits may offset up to twenty-five percent (25%) of any subsequent purchase invoice. Track 1 credits are strictly non-encashable for direct wire transfers during the active operational term.</w:t>
      </w:r>
    </w:p>
    <w:p>
      <w:r>
        <w:pict>
          <v:rect style="width:0;height:1.5pt" o:hralign="center" o:hrstd="t" o:hr="t"/>
        </w:pict>
      </w:r>
    </w:p>
    <w:bookmarkEnd w:id="10"/>
    <w:bookmarkStart w:id="14" w:name="X42741ba15a1c8bfadf1d222e68c406c16a7b949"/>
    <w:p>
      <w:pPr>
        <w:pStyle w:val="Heading3"/>
      </w:pPr>
      <w:r>
        <w:t xml:space="preserve">CLAUSE 3: TRACK 2 — VALUE-SPREAD &amp; GROWTH-LINKED PHANTOM STOCK UNITS (PSUs)</w:t>
      </w:r>
    </w:p>
    <w:p>
      <w:pPr>
        <w:pStyle w:val="FirstParagraph"/>
      </w:pPr>
      <w:r>
        <w:t xml:space="preserve">3.1.</w:t>
      </w:r>
      <w:r>
        <w:t xml:space="preserve"> </w:t>
      </w:r>
      <w:r>
        <w:rPr>
          <w:b/>
          <w:bCs/>
        </w:rPr>
        <w:t xml:space="preserve">Notional Pool &amp; Unit Drawdown:</w:t>
      </w:r>
      <w:r>
        <w:br/>
      </w:r>
      <w:r>
        <w:t xml:space="preserve">The Participant is granted synthetic PSU units calculated at the locked Base Strike Price of ₹10.80 against a notional credit base equal to thirty percent (30%) of their cumulative Eligible Gross Spend over the sixty (60) month tenure:</w:t>
      </w:r>
    </w:p>
    <w:p>
      <w:pPr>
        <w:pStyle w:val="BodyText"/>
      </w:pPr>
      <m:oMathPara>
        <m:oMathParaPr>
          <m:jc m:val="center"/>
        </m:oMathParaPr>
        <m:oMath>
          <m:r>
            <m:rPr>
              <m:nor/>
              <m:sty m:val="p"/>
            </m:rPr>
            <m:t>Notional Allocation Base</m:t>
          </m:r>
          <m:r>
            <m:rPr>
              <m:sty m:val="p"/>
            </m:rPr>
            <m:t>=</m:t>
          </m:r>
          <m:r>
            <m:t>30</m:t>
          </m:r>
          <m:r>
            <m:rPr>
              <m:sty m:val="p"/>
            </m:rPr>
            <m:t>%</m:t>
          </m:r>
          <m:r>
            <m:rPr>
              <m:sty m:val="p"/>
            </m:rPr>
            <m:t>×</m:t>
          </m:r>
          <m:r>
            <m:rPr>
              <m:nor/>
              <m:sty m:val="p"/>
            </m:rPr>
            <m:t>Cumulative 5-Year Eligible Gross Spend</m:t>
          </m:r>
        </m:oMath>
      </m:oMathPara>
    </w:p>
    <w:p>
      <w:pPr>
        <w:pStyle w:val="FirstParagraph"/>
      </w:pPr>
      <w:r>
        <w:t xml:space="preserve">3.2.</w:t>
      </w:r>
      <w:r>
        <w:t xml:space="preserve"> </w:t>
      </w:r>
      <w:r>
        <w:rPr>
          <w:b/>
          <w:bCs/>
        </w:rPr>
        <w:t xml:space="preserve">Proportional Customer Pool Allocation (No Concentration Penalties):</w:t>
      </w:r>
      <w:r>
        <w:br/>
      </w:r>
      <w:r>
        <w:t xml:space="preserve">The Authorized Customer Growth Pool of 3,00,000 PSUs shall be allocated among qualifying Participants strictly in proportion to their verified Eligible Gross Spend relative to the aggregate qualifying spend of all participating active accounts over the sixty (60) month tenure:</w:t>
      </w:r>
    </w:p>
    <w:p>
      <w:pPr>
        <w:pStyle w:val="BodyText"/>
      </w:pPr>
      <m:oMathPara>
        <m:oMathParaPr>
          <m:jc m:val="center"/>
        </m:oMathParaPr>
        <m:oMath>
          <m:r>
            <m:rPr>
              <m:nor/>
              <m:sty m:val="p"/>
            </m:rPr>
            <m:t>Allocated PSUs</m:t>
          </m:r>
          <m:r>
            <m:rPr>
              <m:sty m:val="p"/>
            </m:rPr>
            <m:t>=</m:t>
          </m:r>
          <m:d>
            <m:dPr>
              <m:begChr m:val="("/>
              <m:sepChr m:val=""/>
              <m:endChr m:val=")"/>
              <m:grow/>
            </m:dPr>
            <m:e>
              <m:f>
                <m:fPr>
                  <m:type m:val="bar"/>
                </m:fPr>
                <m:num>
                  <m:r>
                    <m:rPr>
                      <m:nor/>
                      <m:sty m:val="p"/>
                    </m:rPr>
                    <m:t>Participant’s 5-Year Eligible Gross Spend</m:t>
                  </m:r>
                </m:num>
                <m:den>
                  <m:r>
                    <m:rPr>
                      <m:sty m:val="p"/>
                    </m:rPr>
                    <m:t>∑</m:t>
                  </m:r>
                  <m:r>
                    <m:rPr>
                      <m:nor/>
                      <m:sty m:val="p"/>
                    </m:rPr>
                    <m:t>Total Eligible Gross Spend of All Participating Accounts</m:t>
                  </m:r>
                </m:den>
              </m:f>
            </m:e>
          </m:d>
          <m:r>
            <m:rPr>
              <m:sty m:val="p"/>
            </m:rPr>
            <m:t>×</m:t>
          </m:r>
          <m:r>
            <m:t>3</m:t>
          </m:r>
          <m:r>
            <m:rPr>
              <m:sty m:val="p"/>
            </m:rPr>
            <m:t>,</m:t>
          </m:r>
          <m:r>
            <m:t>00</m:t>
          </m:r>
          <m:r>
            <m:rPr>
              <m:sty m:val="p"/>
            </m:rPr>
            <m:t>,</m:t>
          </m:r>
          <m:r>
            <m:t>000</m:t>
          </m:r>
          <m:r>
            <m:rPr>
              <m:nor/>
              <m:sty m:val="p"/>
            </m:rPr>
            <m:t> PSUs</m:t>
          </m:r>
        </m:oMath>
      </m:oMathPara>
    </w:p>
    <w:p>
      <w:pPr>
        <w:pStyle w:val="FirstParagraph"/>
      </w:pPr>
      <w:r>
        <w:t xml:space="preserve">No artificial per-account unit ceiling shall apply. Each Participant’s entitlement tracks their direct economic contribution to the Company without dilution or cross-tier redistribution.</w:t>
      </w:r>
    </w:p>
    <w:p>
      <w:pPr>
        <w:pStyle w:val="BodyText"/>
      </w:pPr>
      <w:r>
        <w:t xml:space="preserve">3.3.</w:t>
      </w:r>
      <w:r>
        <w:t xml:space="preserve"> </w:t>
      </w:r>
      <w:r>
        <w:rPr>
          <w:b/>
          <w:bCs/>
        </w:rPr>
        <w:t xml:space="preserve">The Multiplier Scorecard Architecture (</w:t>
      </w:r>
      <m:oMath>
        <m:sSub>
          <m:e>
            <m:r>
              <m:t>M</m:t>
            </m:r>
          </m:e>
          <m:sub>
            <m:r>
              <m:t>i</m:t>
            </m:r>
          </m:sub>
        </m:sSub>
      </m:oMath>
      <w:r>
        <w:rPr>
          <w:b/>
          <w:bCs/>
        </w:rPr>
        <w:t xml:space="preserve">):</w:t>
      </w:r>
      <w:r>
        <w:br/>
      </w:r>
      <w:r>
        <w:t xml:space="preserve">At Month 60, the Company’s Year 5 Audited EBITDA is multiplied by an Earned Valuation Multiple (</w:t>
      </w:r>
      <m:oMath>
        <m:sSub>
          <m:e>
            <m:r>
              <m:t>M</m:t>
            </m:r>
          </m:e>
          <m:sub>
            <m:r>
              <m:t>i</m:t>
            </m:r>
          </m:sub>
        </m:sSub>
      </m:oMath>
      <w:r>
        <w:t xml:space="preserve">) starting at a base floor of 4.00x and expanding across three objective dimensions:</w:t>
      </w:r>
    </w:p>
    <w:p>
      <w:pPr>
        <w:pStyle w:val="BodyText"/>
      </w:pPr>
      <m:oMathPara>
        <m:oMathParaPr>
          <m:jc m:val="center"/>
        </m:oMathParaPr>
        <m:oMath>
          <m:sSub>
            <m:e>
              <m:r>
                <m:t>M</m:t>
              </m:r>
            </m:e>
            <m:sub>
              <m:r>
                <m:t>i</m:t>
              </m:r>
            </m:sub>
          </m:sSub>
          <m:r>
            <m:rPr>
              <m:sty m:val="p"/>
            </m:rPr>
            <m:t>=</m:t>
          </m:r>
          <m:r>
            <m:t>4.00</m:t>
          </m:r>
          <m:r>
            <m:rPr>
              <m:nor/>
              <m:sty m:val="p"/>
            </m:rPr>
            <m:t>x (Base Floor)</m:t>
          </m:r>
          <m:r>
            <m:rPr>
              <m:sty m:val="p"/>
            </m:rPr>
            <m:t>+</m:t>
          </m:r>
          <m:r>
            <m:rPr>
              <m:sty m:val="p"/>
            </m:rPr>
            <m:t>Δ</m:t>
          </m:r>
          <m:sSub>
            <m:e>
              <m:r>
                <m:t>M</m:t>
              </m:r>
            </m:e>
            <m:sub>
              <m:r>
                <m:rPr>
                  <m:nor/>
                  <m:sty m:val="p"/>
                </m:rPr>
                <m:t>Spread</m:t>
              </m:r>
            </m:sub>
          </m:sSub>
          <m:r>
            <m:rPr>
              <m:sty m:val="p"/>
            </m:rPr>
            <m:t>+</m:t>
          </m:r>
          <m:r>
            <m:rPr>
              <m:sty m:val="p"/>
            </m:rPr>
            <m:t>Δ</m:t>
          </m:r>
          <m:sSub>
            <m:e>
              <m:r>
                <m:t>M</m:t>
              </m:r>
            </m:e>
            <m:sub>
              <m:r>
                <m:rPr>
                  <m:nor/>
                  <m:sty m:val="p"/>
                </m:rPr>
                <m:t>Growth</m:t>
              </m:r>
            </m:sub>
          </m:sSub>
          <m:r>
            <m:rPr>
              <m:sty m:val="p"/>
            </m:rPr>
            <m:t>+</m:t>
          </m:r>
          <m:r>
            <m:rPr>
              <m:sty m:val="p"/>
            </m:rPr>
            <m:t>Δ</m:t>
          </m:r>
          <m:sSub>
            <m:e>
              <m:r>
                <m:t>M</m:t>
              </m:r>
            </m:e>
            <m:sub>
              <m:r>
                <m:rPr>
                  <m:nor/>
                  <m:sty m:val="p"/>
                </m:rPr>
                <m:t>Ops</m:t>
              </m:r>
            </m:sub>
          </m:sSub>
        </m:oMath>
      </m:oMathPara>
    </w:p>
    <w:bookmarkStart w:id="11" w:name="X03d5ef1392d5b6e609094bd7574080150ea6e69"/>
    <w:p>
      <w:pPr>
        <w:pStyle w:val="Heading4"/>
      </w:pPr>
      <w:r>
        <w:t xml:space="preserve">(a) Purchase Spread &amp; SKU Margin Track (</w:t>
      </w:r>
      <m:oMath>
        <m:r>
          <m:rPr>
            <m:sty m:val="p"/>
          </m:rPr>
          <m:t>Δ</m:t>
        </m:r>
        <m:sSub>
          <m:e>
            <m:r>
              <m:t>M</m:t>
            </m:r>
          </m:e>
          <m:sub>
            <m:r>
              <m:rPr>
                <m:nor/>
                <m:sty m:val="p"/>
              </m:rPr>
              <m:t>Spread</m:t>
            </m:r>
          </m:sub>
        </m:sSub>
      </m:oMath>
      <w:r>
        <w:t xml:space="preserve">)</w:t>
      </w:r>
    </w:p>
    <w:p>
      <w:pPr>
        <w:pStyle w:val="Compact"/>
        <w:numPr>
          <w:ilvl w:val="0"/>
          <w:numId w:val="1001"/>
        </w:numPr>
      </w:pPr>
      <w:r>
        <w:rPr>
          <w:b/>
          <w:bCs/>
        </w:rPr>
        <w:t xml:space="preserve">Class A (Low Margin / Spread &lt; 4.0%):</w:t>
      </w:r>
      <w:r>
        <w:t xml:space="preserve"> </w:t>
      </w:r>
      <w:r>
        <w:t xml:space="preserve">Bulk loose edible oils, refined sugar, raw milling grains</w:t>
      </w:r>
      <w:r>
        <w:t xml:space="preserve"> </w:t>
      </w:r>
      <m:oMath>
        <m:r>
          <m:rPr>
            <m:sty m:val="p"/>
          </m:rPr>
          <m:t>⟹</m:t>
        </m:r>
      </m:oMath>
      <w:r>
        <w:t xml:space="preserve"> </w:t>
      </w:r>
      <w:r>
        <w:rPr>
          <w:b/>
          <w:bCs/>
        </w:rPr>
        <w:t xml:space="preserve">Assigned Weight: 1.0x</w:t>
      </w:r>
    </w:p>
    <w:p>
      <w:pPr>
        <w:pStyle w:val="Compact"/>
        <w:numPr>
          <w:ilvl w:val="0"/>
          <w:numId w:val="1001"/>
        </w:numPr>
      </w:pPr>
      <w:r>
        <w:rPr>
          <w:b/>
          <w:bCs/>
        </w:rPr>
        <w:t xml:space="preserve">Class B (Medium Margin / Spread 4.1%–7.0%):</w:t>
      </w:r>
      <w:r>
        <w:t xml:space="preserve"> </w:t>
      </w:r>
      <w:r>
        <w:t xml:space="preserve">Sortex pulses, institutional flours, specialty rices</w:t>
      </w:r>
      <w:r>
        <w:t xml:space="preserve"> </w:t>
      </w:r>
      <m:oMath>
        <m:r>
          <m:rPr>
            <m:sty m:val="p"/>
          </m:rPr>
          <m:t>⟹</m:t>
        </m:r>
      </m:oMath>
      <w:r>
        <w:t xml:space="preserve"> </w:t>
      </w:r>
      <w:r>
        <w:rPr>
          <w:b/>
          <w:bCs/>
        </w:rPr>
        <w:t xml:space="preserve">Assigned Weight: 1.5x</w:t>
      </w:r>
    </w:p>
    <w:p>
      <w:pPr>
        <w:pStyle w:val="Compact"/>
        <w:numPr>
          <w:ilvl w:val="0"/>
          <w:numId w:val="1001"/>
        </w:numPr>
      </w:pPr>
      <w:r>
        <w:rPr>
          <w:b/>
          <w:bCs/>
        </w:rPr>
        <w:t xml:space="preserve">Class C (High-Margin Value-Add / Spread &gt; 7.1%):</w:t>
      </w:r>
      <w:r>
        <w:t xml:space="preserve"> </w:t>
      </w:r>
      <w:r>
        <w:t xml:space="preserve">Whole spices, blended seasonings, culinary sauces, food-grade packaging</w:t>
      </w:r>
      <w:r>
        <w:t xml:space="preserve"> </w:t>
      </w:r>
      <m:oMath>
        <m:r>
          <m:rPr>
            <m:sty m:val="p"/>
          </m:rPr>
          <m:t>⟹</m:t>
        </m:r>
      </m:oMath>
      <w:r>
        <w:t xml:space="preserve"> </w:t>
      </w:r>
      <w:r>
        <w:rPr>
          <w:b/>
          <w:bCs/>
        </w:rPr>
        <w:t xml:space="preserve">Assigned Weight: 2.5x</w:t>
      </w:r>
    </w:p>
    <w:p>
      <w:pPr>
        <w:pStyle w:val="FirstParagraph"/>
      </w:pPr>
      <m:oMathPara>
        <m:oMathParaPr>
          <m:jc m:val="center"/>
        </m:oMathParaPr>
        <m:oMath>
          <m:r>
            <m:rPr>
              <m:nor/>
              <m:sty m:val="p"/>
            </m:rPr>
            <m:t>Weighted Margin Score </m:t>
          </m:r>
          <m:r>
            <m:rPr>
              <m:sty m:val="p"/>
            </m:rPr>
            <m:t>(</m:t>
          </m:r>
          <m:r>
            <m:t>W</m:t>
          </m:r>
          <m:r>
            <m:t>M</m:t>
          </m:r>
          <m:r>
            <m:t>S</m:t>
          </m:r>
          <m:r>
            <m:rPr>
              <m:sty m:val="p"/>
            </m:rPr>
            <m:t>)</m:t>
          </m:r>
          <m:r>
            <m:rPr>
              <m:sty m:val="p"/>
            </m:rPr>
            <m:t>=</m:t>
          </m:r>
          <m:f>
            <m:fPr>
              <m:type m:val="bar"/>
            </m:fPr>
            <m:num>
              <m:r>
                <m:rPr>
                  <m:sty m:val="p"/>
                </m:rPr>
                <m:t>(</m:t>
              </m:r>
              <m:sSub>
                <m:e>
                  <m:r>
                    <m:rPr>
                      <m:nor/>
                      <m:sty m:val="p"/>
                    </m:rPr>
                    <m:t>Spend</m:t>
                  </m:r>
                </m:e>
                <m:sub>
                  <m:r>
                    <m:t>A</m:t>
                  </m:r>
                </m:sub>
              </m:sSub>
              <m:r>
                <m:rPr>
                  <m:sty m:val="p"/>
                </m:rPr>
                <m:t>×</m:t>
              </m:r>
              <m:r>
                <m:t>1.0</m:t>
              </m:r>
              <m:r>
                <m:rPr>
                  <m:sty m:val="p"/>
                </m:rPr>
                <m:t>)</m:t>
              </m:r>
              <m:r>
                <m:rPr>
                  <m:sty m:val="p"/>
                </m:rPr>
                <m:t>+</m:t>
              </m:r>
              <m:r>
                <m:rPr>
                  <m:sty m:val="p"/>
                </m:rPr>
                <m:t>(</m:t>
              </m:r>
              <m:sSub>
                <m:e>
                  <m:r>
                    <m:rPr>
                      <m:nor/>
                      <m:sty m:val="p"/>
                    </m:rPr>
                    <m:t>Spend</m:t>
                  </m:r>
                </m:e>
                <m:sub>
                  <m:r>
                    <m:t>B</m:t>
                  </m:r>
                </m:sub>
              </m:sSub>
              <m:r>
                <m:rPr>
                  <m:sty m:val="p"/>
                </m:rPr>
                <m:t>×</m:t>
              </m:r>
              <m:r>
                <m:t>1.5</m:t>
              </m:r>
              <m:r>
                <m:rPr>
                  <m:sty m:val="p"/>
                </m:rPr>
                <m:t>)</m:t>
              </m:r>
              <m:r>
                <m:rPr>
                  <m:sty m:val="p"/>
                </m:rPr>
                <m:t>+</m:t>
              </m:r>
              <m:r>
                <m:rPr>
                  <m:sty m:val="p"/>
                </m:rPr>
                <m:t>(</m:t>
              </m:r>
              <m:sSub>
                <m:e>
                  <m:r>
                    <m:rPr>
                      <m:nor/>
                      <m:sty m:val="p"/>
                    </m:rPr>
                    <m:t>Spend</m:t>
                  </m:r>
                </m:e>
                <m:sub>
                  <m:r>
                    <m:t>C</m:t>
                  </m:r>
                </m:sub>
              </m:sSub>
              <m:r>
                <m:rPr>
                  <m:sty m:val="p"/>
                </m:rPr>
                <m:t>×</m:t>
              </m:r>
              <m:r>
                <m:t>2.5</m:t>
              </m:r>
              <m:r>
                <m:rPr>
                  <m:sty m:val="p"/>
                </m:rPr>
                <m:t>)</m:t>
              </m:r>
            </m:num>
            <m:den>
              <m:r>
                <m:rPr>
                  <m:nor/>
                  <m:sty m:val="p"/>
                </m:rPr>
                <m:t>Total Eligible Gross Spend</m:t>
              </m:r>
            </m:den>
          </m:f>
        </m:oMath>
      </m:oMathPara>
    </w:p>
    <w:p>
      <w:pPr>
        <w:pStyle w:val="Compact"/>
        <w:numPr>
          <w:ilvl w:val="0"/>
          <w:numId w:val="1002"/>
        </w:numPr>
      </w:pPr>
      <m:oMath>
        <m:r>
          <m:t>W</m:t>
        </m:r>
        <m:r>
          <m:t>M</m:t>
        </m:r>
        <m:r>
          <m:t>S</m:t>
        </m:r>
        <m:r>
          <m:rPr>
            <m:sty m:val="p"/>
          </m:rPr>
          <m:t>&lt;</m:t>
        </m:r>
        <m:r>
          <m:t>1.25</m:t>
        </m:r>
      </m:oMath>
      <w:r>
        <w:t xml:space="preserve">:</w:t>
      </w:r>
      <w:r>
        <w:t xml:space="preserve"> </w:t>
      </w:r>
      <m:oMath>
        <m:r>
          <m:rPr>
            <m:sty m:val="p"/>
          </m:rPr>
          <m:t>Δ</m:t>
        </m:r>
        <m:sSub>
          <m:e>
            <m:r>
              <m:t>M</m:t>
            </m:r>
          </m:e>
          <m:sub>
            <m:r>
              <m:rPr>
                <m:nor/>
                <m:sty m:val="p"/>
              </m:rPr>
              <m:t>Spread</m:t>
            </m:r>
          </m:sub>
        </m:sSub>
        <m:r>
          <m:rPr>
            <m:sty m:val="p"/>
          </m:rPr>
          <m:t>=</m:t>
        </m:r>
        <m:r>
          <m:rPr>
            <m:sty m:val="b"/>
          </m:rPr>
          <m:t>+</m:t>
        </m:r>
        <m:r>
          <m:rPr>
            <m:sty m:val="b"/>
          </m:rPr>
          <m:t>0.00</m:t>
        </m:r>
        <m:r>
          <m:rPr>
            <m:sty m:val="b"/>
          </m:rPr>
          <m:t>x</m:t>
        </m:r>
      </m:oMath>
    </w:p>
    <w:p>
      <w:pPr>
        <w:pStyle w:val="Compact"/>
        <w:numPr>
          <w:ilvl w:val="0"/>
          <w:numId w:val="1002"/>
        </w:numPr>
      </w:pPr>
      <m:oMath>
        <m:r>
          <m:t>W</m:t>
        </m:r>
        <m:r>
          <m:t>M</m:t>
        </m:r>
        <m:r>
          <m:t>S</m:t>
        </m:r>
        <m:r>
          <m:rPr>
            <m:nor/>
            <m:sty m:val="p"/>
          </m:rPr>
          <m:t> between </m:t>
        </m:r>
        <m:r>
          <m:t>1.25</m:t>
        </m:r>
        <m:r>
          <m:rPr>
            <m:nor/>
            <m:sty m:val="p"/>
          </m:rPr>
          <m:t> and </m:t>
        </m:r>
        <m:r>
          <m:t>1.74</m:t>
        </m:r>
      </m:oMath>
      <w:r>
        <w:t xml:space="preserve">:</w:t>
      </w:r>
      <w:r>
        <w:t xml:space="preserve"> </w:t>
      </w:r>
      <m:oMath>
        <m:r>
          <m:rPr>
            <m:sty m:val="p"/>
          </m:rPr>
          <m:t>Δ</m:t>
        </m:r>
        <m:sSub>
          <m:e>
            <m:r>
              <m:t>M</m:t>
            </m:r>
          </m:e>
          <m:sub>
            <m:r>
              <m:rPr>
                <m:nor/>
                <m:sty m:val="p"/>
              </m:rPr>
              <m:t>Spread</m:t>
            </m:r>
          </m:sub>
        </m:sSub>
        <m:r>
          <m:rPr>
            <m:sty m:val="p"/>
          </m:rPr>
          <m:t>=</m:t>
        </m:r>
        <m:r>
          <m:rPr>
            <m:sty m:val="b"/>
          </m:rPr>
          <m:t>+</m:t>
        </m:r>
        <m:r>
          <m:rPr>
            <m:sty m:val="b"/>
          </m:rPr>
          <m:t>0.50</m:t>
        </m:r>
        <m:r>
          <m:rPr>
            <m:sty m:val="b"/>
          </m:rPr>
          <m:t>x</m:t>
        </m:r>
      </m:oMath>
    </w:p>
    <w:p>
      <w:pPr>
        <w:pStyle w:val="Compact"/>
        <w:numPr>
          <w:ilvl w:val="0"/>
          <w:numId w:val="1002"/>
        </w:numPr>
      </w:pPr>
      <m:oMath>
        <m:r>
          <m:t>W</m:t>
        </m:r>
        <m:r>
          <m:t>M</m:t>
        </m:r>
        <m:r>
          <m:t>S</m:t>
        </m:r>
        <m:r>
          <m:rPr>
            <m:sty m:val="p"/>
          </m:rPr>
          <m:t>≥</m:t>
        </m:r>
        <m:r>
          <m:t>1.75</m:t>
        </m:r>
      </m:oMath>
      <w:r>
        <w:t xml:space="preserve">:</w:t>
      </w:r>
      <w:r>
        <w:t xml:space="preserve"> </w:t>
      </w:r>
      <m:oMath>
        <m:r>
          <m:rPr>
            <m:sty m:val="p"/>
          </m:rPr>
          <m:t>Δ</m:t>
        </m:r>
        <m:sSub>
          <m:e>
            <m:r>
              <m:t>M</m:t>
            </m:r>
          </m:e>
          <m:sub>
            <m:r>
              <m:rPr>
                <m:nor/>
                <m:sty m:val="p"/>
              </m:rPr>
              <m:t>Spread</m:t>
            </m:r>
          </m:sub>
        </m:sSub>
        <m:r>
          <m:rPr>
            <m:sty m:val="p"/>
          </m:rPr>
          <m:t>=</m:t>
        </m:r>
        <m:r>
          <m:rPr>
            <m:sty m:val="b"/>
          </m:rPr>
          <m:t>+</m:t>
        </m:r>
        <m:r>
          <m:rPr>
            <m:sty m:val="b"/>
          </m:rPr>
          <m:t>1.00</m:t>
        </m:r>
        <m:r>
          <m:rPr>
            <m:sty m:val="b"/>
          </m:rPr>
          <m:t>x</m:t>
        </m:r>
      </m:oMath>
    </w:p>
    <w:bookmarkEnd w:id="11"/>
    <w:bookmarkStart w:id="12" w:name="Xe676c52c0f459aceccd3eaa579fc489c145c0a5"/>
    <w:p>
      <w:pPr>
        <w:pStyle w:val="Heading4"/>
      </w:pPr>
      <w:r>
        <w:t xml:space="preserve">(b) Year-over-Year (YoY) Revenue Growth Multiplier Track (</w:t>
      </w:r>
      <m:oMath>
        <m:r>
          <m:rPr>
            <m:sty m:val="p"/>
          </m:rPr>
          <m:t>Δ</m:t>
        </m:r>
        <m:sSub>
          <m:e>
            <m:r>
              <m:t>M</m:t>
            </m:r>
          </m:e>
          <m:sub>
            <m:r>
              <m:rPr>
                <m:nor/>
                <m:sty m:val="p"/>
              </m:rPr>
              <m:t>Growth</m:t>
            </m:r>
          </m:sub>
        </m:sSub>
      </m:oMath>
      <w:r>
        <w:t xml:space="preserve">)</w:t>
      </w:r>
    </w:p>
    <w:p>
      <w:pPr>
        <w:pStyle w:val="Compact"/>
        <w:numPr>
          <w:ilvl w:val="0"/>
          <w:numId w:val="1003"/>
        </w:numPr>
      </w:pPr>
      <w:r>
        <w:rPr>
          <w:b/>
          <w:bCs/>
        </w:rPr>
        <w:t xml:space="preserve">Tier 1 (Stagnant / Below 5.0% YoY CAGR):</w:t>
      </w:r>
      <w:r>
        <w:t xml:space="preserve"> </w:t>
      </w:r>
      <m:oMath>
        <m:r>
          <m:rPr>
            <m:sty m:val="p"/>
          </m:rPr>
          <m:t>Δ</m:t>
        </m:r>
        <m:sSub>
          <m:e>
            <m:r>
              <m:t>M</m:t>
            </m:r>
          </m:e>
          <m:sub>
            <m:r>
              <m:rPr>
                <m:nor/>
                <m:sty m:val="p"/>
              </m:rPr>
              <m:t>Growth</m:t>
            </m:r>
          </m:sub>
        </m:sSub>
        <m:r>
          <m:rPr>
            <m:sty m:val="p"/>
          </m:rPr>
          <m:t>=</m:t>
        </m:r>
        <m:r>
          <m:rPr>
            <m:sty m:val="b"/>
          </m:rPr>
          <m:t>+</m:t>
        </m:r>
        <m:r>
          <m:rPr>
            <m:sty m:val="b"/>
          </m:rPr>
          <m:t>0.00</m:t>
        </m:r>
        <m:r>
          <m:rPr>
            <m:sty m:val="b"/>
          </m:rPr>
          <m:t>x</m:t>
        </m:r>
      </m:oMath>
    </w:p>
    <w:p>
      <w:pPr>
        <w:pStyle w:val="Compact"/>
        <w:numPr>
          <w:ilvl w:val="0"/>
          <w:numId w:val="1003"/>
        </w:numPr>
      </w:pPr>
      <w:r>
        <w:rPr>
          <w:b/>
          <w:bCs/>
        </w:rPr>
        <w:t xml:space="preserve">Tier 2 (Moderate Scale / 5.0% to 9.9% YoY CAGR):</w:t>
      </w:r>
      <w:r>
        <w:t xml:space="preserve"> </w:t>
      </w:r>
      <m:oMath>
        <m:r>
          <m:rPr>
            <m:sty m:val="p"/>
          </m:rPr>
          <m:t>Δ</m:t>
        </m:r>
        <m:sSub>
          <m:e>
            <m:r>
              <m:t>M</m:t>
            </m:r>
          </m:e>
          <m:sub>
            <m:r>
              <m:rPr>
                <m:nor/>
                <m:sty m:val="p"/>
              </m:rPr>
              <m:t>Growth</m:t>
            </m:r>
          </m:sub>
        </m:sSub>
        <m:r>
          <m:rPr>
            <m:sty m:val="p"/>
          </m:rPr>
          <m:t>=</m:t>
        </m:r>
        <m:r>
          <m:rPr>
            <m:sty m:val="b"/>
          </m:rPr>
          <m:t>+</m:t>
        </m:r>
        <m:r>
          <m:rPr>
            <m:sty m:val="b"/>
          </m:rPr>
          <m:t>0.50</m:t>
        </m:r>
        <m:r>
          <m:rPr>
            <m:sty m:val="b"/>
          </m:rPr>
          <m:t>x</m:t>
        </m:r>
      </m:oMath>
    </w:p>
    <w:p>
      <w:pPr>
        <w:pStyle w:val="Compact"/>
        <w:numPr>
          <w:ilvl w:val="0"/>
          <w:numId w:val="1003"/>
        </w:numPr>
      </w:pPr>
      <w:r>
        <w:rPr>
          <w:b/>
          <w:bCs/>
        </w:rPr>
        <w:t xml:space="preserve">Tier 3 (Target Consistency / 10.0% to 14.9% YoY CAGR):</w:t>
      </w:r>
      <w:r>
        <w:t xml:space="preserve"> </w:t>
      </w:r>
      <m:oMath>
        <m:r>
          <m:rPr>
            <m:sty m:val="p"/>
          </m:rPr>
          <m:t>Δ</m:t>
        </m:r>
        <m:sSub>
          <m:e>
            <m:r>
              <m:t>M</m:t>
            </m:r>
          </m:e>
          <m:sub>
            <m:r>
              <m:rPr>
                <m:nor/>
                <m:sty m:val="p"/>
              </m:rPr>
              <m:t>Growth</m:t>
            </m:r>
          </m:sub>
        </m:sSub>
        <m:r>
          <m:rPr>
            <m:sty m:val="p"/>
          </m:rPr>
          <m:t>=</m:t>
        </m:r>
        <m:r>
          <m:rPr>
            <m:sty m:val="b"/>
          </m:rPr>
          <m:t>+</m:t>
        </m:r>
        <m:r>
          <m:rPr>
            <m:sty m:val="b"/>
          </m:rPr>
          <m:t>1.25</m:t>
        </m:r>
        <m:r>
          <m:rPr>
            <m:sty m:val="b"/>
          </m:rPr>
          <m:t>x</m:t>
        </m:r>
      </m:oMath>
    </w:p>
    <w:p>
      <w:pPr>
        <w:pStyle w:val="Compact"/>
        <w:numPr>
          <w:ilvl w:val="0"/>
          <w:numId w:val="1003"/>
        </w:numPr>
      </w:pPr>
      <w:r>
        <w:rPr>
          <w:b/>
          <w:bCs/>
        </w:rPr>
        <w:t xml:space="preserve">Tier 4 (High Scale /</w:t>
      </w:r>
      <w:r>
        <w:rPr>
          <w:b/>
          <w:bCs/>
        </w:rPr>
        <w:t xml:space="preserve"> </w:t>
      </w:r>
      <m:oMath>
        <m:r>
          <m:rPr>
            <m:sty m:val="p"/>
          </m:rPr>
          <m:t>≥</m:t>
        </m:r>
      </m:oMath>
      <w:r>
        <w:rPr>
          <w:b/>
          <w:bCs/>
        </w:rPr>
        <w:t xml:space="preserve"> </w:t>
      </w:r>
      <w:r>
        <w:rPr>
          <w:b/>
          <w:bCs/>
        </w:rPr>
        <w:t xml:space="preserve">15.0% YoY CAGR):</w:t>
      </w:r>
      <w:r>
        <w:t xml:space="preserve"> </w:t>
      </w:r>
      <m:oMath>
        <m:r>
          <m:rPr>
            <m:sty m:val="p"/>
          </m:rPr>
          <m:t>Δ</m:t>
        </m:r>
        <m:sSub>
          <m:e>
            <m:r>
              <m:t>M</m:t>
            </m:r>
          </m:e>
          <m:sub>
            <m:r>
              <m:rPr>
                <m:nor/>
                <m:sty m:val="p"/>
              </m:rPr>
              <m:t>Growth</m:t>
            </m:r>
          </m:sub>
        </m:sSub>
        <m:r>
          <m:rPr>
            <m:sty m:val="p"/>
          </m:rPr>
          <m:t>=</m:t>
        </m:r>
        <m:r>
          <m:rPr>
            <m:sty m:val="b"/>
          </m:rPr>
          <m:t>+</m:t>
        </m:r>
        <m:r>
          <m:rPr>
            <m:sty m:val="b"/>
          </m:rPr>
          <m:t>2.00</m:t>
        </m:r>
        <m:r>
          <m:rPr>
            <m:sty m:val="b"/>
          </m:rPr>
          <m:t>x</m:t>
        </m:r>
      </m:oMath>
      <w:r>
        <w:br/>
      </w:r>
      <w:r>
        <w:rPr>
          <w:i/>
          <w:iCs/>
        </w:rPr>
        <w:t xml:space="preserve">(Requires positive YoY spend expansion in at least 4 out of the 5 financial years).</w:t>
      </w:r>
    </w:p>
    <w:bookmarkEnd w:id="12"/>
    <w:bookmarkStart w:id="13" w:name="X2f440b319c3c19b7c244ad64d69f6d33cba4a52"/>
    <w:p>
      <w:pPr>
        <w:pStyle w:val="Heading4"/>
      </w:pPr>
      <w:r>
        <w:t xml:space="preserve">(c) Operational Hygiene Multiplier Track (</w:t>
      </w:r>
      <m:oMath>
        <m:r>
          <m:rPr>
            <m:sty m:val="p"/>
          </m:rPr>
          <m:t>Δ</m:t>
        </m:r>
        <m:sSub>
          <m:e>
            <m:r>
              <m:t>M</m:t>
            </m:r>
          </m:e>
          <m:sub>
            <m:r>
              <m:rPr>
                <m:nor/>
                <m:sty m:val="p"/>
              </m:rPr>
              <m:t>Ops</m:t>
            </m:r>
          </m:sub>
        </m:sSub>
      </m:oMath>
      <w:r>
        <w:t xml:space="preserve">)</w:t>
      </w:r>
    </w:p>
    <w:p>
      <w:pPr>
        <w:pStyle w:val="Compact"/>
        <w:numPr>
          <w:ilvl w:val="0"/>
          <w:numId w:val="1004"/>
        </w:numPr>
      </w:pPr>
      <w:r>
        <w:t xml:space="preserve">Zero payment delays past agreed terms throughout the 60-month horizon:</w:t>
      </w:r>
      <w:r>
        <w:t xml:space="preserve"> </w:t>
      </w:r>
      <w:r>
        <w:rPr>
          <w:b/>
          <w:bCs/>
        </w:rPr>
        <w:t xml:space="preserve">+1.00x</w:t>
      </w:r>
    </w:p>
    <w:p>
      <w:pPr>
        <w:pStyle w:val="Compact"/>
        <w:numPr>
          <w:ilvl w:val="0"/>
          <w:numId w:val="1004"/>
        </w:numPr>
      </w:pPr>
      <w:r>
        <w:t xml:space="preserve">Lifetime average order value</w:t>
      </w:r>
      <w:r>
        <w:t xml:space="preserve"> </w:t>
      </w:r>
      <m:oMath>
        <m:r>
          <m:rPr>
            <m:sty m:val="p"/>
          </m:rPr>
          <m:t>≥</m:t>
        </m:r>
      </m:oMath>
      <w:r>
        <w:t xml:space="preserve"> </w:t>
      </w:r>
      <w:r>
        <w:t xml:space="preserve">₹35,000 per drop:</w:t>
      </w:r>
      <w:r>
        <w:t xml:space="preserve"> </w:t>
      </w:r>
      <w:r>
        <w:rPr>
          <w:b/>
          <w:bCs/>
        </w:rPr>
        <w:t xml:space="preserve">+0.75x</w:t>
      </w:r>
    </w:p>
    <w:p>
      <w:pPr>
        <w:pStyle w:val="Compact"/>
        <w:numPr>
          <w:ilvl w:val="0"/>
          <w:numId w:val="1004"/>
        </w:numPr>
      </w:pPr>
      <w:r>
        <w:t xml:space="preserve">Unbroken monthly ordering continuity (zero 60-day billing lapses):</w:t>
      </w:r>
      <w:r>
        <w:t xml:space="preserve"> </w:t>
      </w:r>
      <w:r>
        <w:rPr>
          <w:b/>
          <w:bCs/>
        </w:rPr>
        <w:t xml:space="preserve">+0.50x</w:t>
      </w:r>
    </w:p>
    <w:p>
      <w:pPr>
        <w:pStyle w:val="FirstParagraph"/>
      </w:pPr>
      <w:r>
        <w:t xml:space="preserve">3.4.</w:t>
      </w:r>
      <w:r>
        <w:t xml:space="preserve"> </w:t>
      </w:r>
      <w:r>
        <w:rPr>
          <w:b/>
          <w:bCs/>
        </w:rPr>
        <w:t xml:space="preserve">Multiple Ceiling &amp; Valuation:</w:t>
      </w:r>
      <w:r>
        <w:t xml:space="preserve"> </w:t>
      </w:r>
      <w:r>
        <w:t xml:space="preserve">In no event shall</w:t>
      </w:r>
      <w:r>
        <w:t xml:space="preserve"> </w:t>
      </w:r>
      <m:oMath>
        <m:sSub>
          <m:e>
            <m:r>
              <m:t>M</m:t>
            </m:r>
          </m:e>
          <m:sub>
            <m:r>
              <m:t>i</m:t>
            </m:r>
          </m:sub>
        </m:sSub>
      </m:oMath>
      <w:r>
        <w:t xml:space="preserve"> </w:t>
      </w:r>
      <w:r>
        <w:t xml:space="preserve">exceed</w:t>
      </w:r>
      <w:r>
        <w:t xml:space="preserve"> </w:t>
      </w:r>
      <w:r>
        <w:rPr>
          <w:b/>
          <w:bCs/>
        </w:rPr>
        <w:t xml:space="preserve">8.50x Audited EBITDA</w:t>
      </w:r>
      <w:r>
        <w:t xml:space="preserve">. The Year 5 Exit Fair Market Value (FMV) per PSU equals:</w:t>
      </w:r>
    </w:p>
    <w:p>
      <w:pPr>
        <w:pStyle w:val="BodyText"/>
      </w:pPr>
      <m:oMathPara>
        <m:oMathParaPr>
          <m:jc m:val="center"/>
        </m:oMathParaPr>
        <m:oMath>
          <m:r>
            <m:rPr>
              <m:nor/>
              <m:sty m:val="p"/>
            </m:rPr>
            <m:t>Exit FMV per Unit</m:t>
          </m:r>
          <m:r>
            <m:rPr>
              <m:sty m:val="p"/>
            </m:rPr>
            <m:t>=</m:t>
          </m:r>
          <m:f>
            <m:fPr>
              <m:type m:val="bar"/>
            </m:fPr>
            <m:num>
              <m:sSub>
                <m:e>
                  <m:r>
                    <m:t>M</m:t>
                  </m:r>
                </m:e>
                <m:sub>
                  <m:r>
                    <m:t>i</m:t>
                  </m:r>
                </m:sub>
              </m:sSub>
              <m:r>
                <m:rPr>
                  <m:sty m:val="p"/>
                </m:rPr>
                <m:t>×</m:t>
              </m:r>
              <m:r>
                <m:rPr>
                  <m:nor/>
                  <m:sty m:val="p"/>
                </m:rPr>
                <m:t>Year 5 Audited EBITDA</m:t>
              </m:r>
            </m:num>
            <m:den>
              <m:r>
                <m:t>10</m:t>
              </m:r>
              <m:r>
                <m:rPr>
                  <m:sty m:val="p"/>
                </m:rPr>
                <m:t>,</m:t>
              </m:r>
              <m:r>
                <m:t>00</m:t>
              </m:r>
              <m:r>
                <m:rPr>
                  <m:sty m:val="p"/>
                </m:rPr>
                <m:t>,</m:t>
              </m:r>
              <m:r>
                <m:t>000</m:t>
              </m:r>
              <m:r>
                <m:rPr>
                  <m:nor/>
                  <m:sty m:val="p"/>
                </m:rPr>
                <m:t> Units</m:t>
              </m:r>
            </m:den>
          </m:f>
        </m:oMath>
      </m:oMathPara>
    </w:p>
    <w:p>
      <w:pPr>
        <w:pStyle w:val="FirstParagraph"/>
      </w:pPr>
      <m:oMathPara>
        <m:oMathParaPr>
          <m:jc m:val="center"/>
        </m:oMathParaPr>
        <m:oMath>
          <m:r>
            <m:rPr>
              <m:nor/>
              <m:sty m:val="p"/>
            </m:rPr>
            <m:t>Per-Unit Appreciation Gain </m:t>
          </m:r>
          <m:r>
            <m:rPr>
              <m:sty m:val="p"/>
            </m:rPr>
            <m:t>(</m:t>
          </m:r>
          <m:r>
            <m:rPr>
              <m:sty m:val="p"/>
            </m:rPr>
            <m:t>Δ</m:t>
          </m:r>
          <m:r>
            <m:rPr>
              <m:sty m:val="p"/>
            </m:rPr>
            <m:t>)</m:t>
          </m:r>
          <m:r>
            <m:rPr>
              <m:sty m:val="p"/>
            </m:rPr>
            <m:t>=</m:t>
          </m:r>
          <m:r>
            <m:rPr>
              <m:nor/>
              <m:sty m:val="p"/>
            </m:rPr>
            <m:t>Exit FMV per Unit</m:t>
          </m:r>
          <m:r>
            <m:rPr>
              <m:sty m:val="p"/>
            </m:rPr>
            <m:t>−</m:t>
          </m:r>
          <m:r>
            <m:rPr>
              <m:sty m:val="p"/>
            </m:rPr>
            <m:t>₹</m:t>
          </m:r>
          <m:r>
            <m:t>10.80</m:t>
          </m:r>
        </m:oMath>
      </m:oMathPara>
    </w:p>
    <w:p>
      <w:pPr>
        <w:pStyle w:val="FirstParagraph"/>
      </w:pPr>
      <m:oMathPara>
        <m:oMathParaPr>
          <m:jc m:val="center"/>
        </m:oMathParaPr>
        <m:oMath>
          <m:r>
            <m:rPr>
              <m:nor/>
              <m:sty m:val="p"/>
            </m:rPr>
            <m:t>Gross PSU Entitlement</m:t>
          </m:r>
          <m:r>
            <m:rPr>
              <m:sty m:val="p"/>
            </m:rPr>
            <m:t>=</m:t>
          </m:r>
          <m:r>
            <m:rPr>
              <m:nor/>
              <m:sty m:val="p"/>
            </m:rPr>
            <m:t>Allocated PSUs</m:t>
          </m:r>
          <m:r>
            <m:rPr>
              <m:sty m:val="p"/>
            </m:rPr>
            <m:t>×</m:t>
          </m:r>
          <m:r>
            <m:rPr>
              <m:sty m:val="p"/>
            </m:rPr>
            <m:t>Δ</m:t>
          </m:r>
        </m:oMath>
      </m:oMathPara>
    </w:p>
    <w:p>
      <w:r>
        <w:pict>
          <v:rect style="width:0;height:1.5pt" o:hralign="center" o:hrstd="t" o:hr="t"/>
        </w:pict>
      </w:r>
    </w:p>
    <w:bookmarkEnd w:id="13"/>
    <w:bookmarkEnd w:id="14"/>
    <w:bookmarkStart w:id="15" w:name="Xfa0111bc40f45600905a623b2ff2e5908fa71c6"/>
    <w:p>
      <w:pPr>
        <w:pStyle w:val="Heading3"/>
      </w:pPr>
      <w:r>
        <w:t xml:space="preserve">CLAUSE 4: THE AGGREGATE 30% REVENUE CEILING &amp; BALANCE SHEET CIRCUIT BREAKERS</w:t>
      </w:r>
    </w:p>
    <w:p>
      <w:pPr>
        <w:pStyle w:val="FirstParagraph"/>
      </w:pPr>
      <w:r>
        <w:t xml:space="preserve">4.1.</w:t>
      </w:r>
      <w:r>
        <w:t xml:space="preserve"> </w:t>
      </w:r>
      <w:r>
        <w:rPr>
          <w:b/>
          <w:bCs/>
        </w:rPr>
        <w:t xml:space="preserve">The Lifetime 30% Gross Spend Ceiling:</w:t>
      </w:r>
      <w:r>
        <w:t xml:space="preserve"> </w:t>
      </w:r>
      <w:r>
        <w:t xml:space="preserve">The combined value realized across both tracks (Track 1 credits + Track 2 PSU redemption) cannot exceed thirty percent (30%) of the Participant’s cumulative Eligible Gross Spend:</w:t>
      </w:r>
    </w:p>
    <w:p>
      <w:pPr>
        <w:pStyle w:val="BodyText"/>
      </w:pPr>
      <m:oMathPara>
        <m:oMathParaPr>
          <m:jc m:val="center"/>
        </m:oMathParaPr>
        <m:oMath>
          <m:r>
            <m:rPr>
              <m:nor/>
              <m:sty m:val="p"/>
            </m:rPr>
            <m:t>Final Payable PSU Amount</m:t>
          </m:r>
          <m:r>
            <m:rPr>
              <m:sty m:val="p"/>
            </m:rPr>
            <m:t>=</m:t>
          </m:r>
          <m:r>
            <m:rPr>
              <m:sty m:val="p"/>
            </m:rPr>
            <m:t>min</m:t>
          </m:r>
          <m:d>
            <m:dPr>
              <m:begChr m:val="("/>
              <m:sepChr m:val=""/>
              <m:endChr m:val=")"/>
              <m:grow/>
            </m:dPr>
            <m:e>
              <m:r>
                <m:rPr>
                  <m:nor/>
                  <m:sty m:val="p"/>
                </m:rPr>
                <m:t>Gross PSU Entitlement</m:t>
              </m:r>
              <m:r>
                <m:rPr>
                  <m:sty m:val="p"/>
                </m:rPr>
                <m:t>,</m:t>
              </m:r>
              <m:r>
                <m:t> </m:t>
              </m:r>
              <m:r>
                <m:rPr>
                  <m:sty m:val="p"/>
                </m:rPr>
                <m:t>(</m:t>
              </m:r>
              <m:r>
                <m:t>0.30</m:t>
              </m:r>
              <m:r>
                <m:rPr>
                  <m:sty m:val="p"/>
                </m:rPr>
                <m:t>×</m:t>
              </m:r>
              <m:r>
                <m:rPr>
                  <m:nor/>
                  <m:sty m:val="p"/>
                </m:rPr>
                <m:t>Cumulative Gross Spend</m:t>
              </m:r>
              <m:r>
                <m:rPr>
                  <m:sty m:val="p"/>
                </m:rPr>
                <m:t>)</m:t>
              </m:r>
              <m:r>
                <m:rPr>
                  <m:sty m:val="p"/>
                </m:rPr>
                <m:t>−</m:t>
              </m:r>
              <m:r>
                <m:rPr>
                  <m:nor/>
                  <m:sty m:val="p"/>
                </m:rPr>
                <m:t>Cumulative Track 1 Credits Claimed</m:t>
              </m:r>
            </m:e>
          </m:d>
        </m:oMath>
      </m:oMathPara>
    </w:p>
    <w:p>
      <w:pPr>
        <w:pStyle w:val="FirstParagraph"/>
      </w:pPr>
      <w:r>
        <w:t xml:space="preserve">4.2.</w:t>
      </w:r>
      <w:r>
        <w:t xml:space="preserve"> </w:t>
      </w:r>
      <w:r>
        <w:rPr>
          <w:b/>
          <w:bCs/>
        </w:rPr>
        <w:t xml:space="preserve">Free Reserves &amp; Surplus Solvency Cap:</w:t>
      </w:r>
      <w:r>
        <w:t xml:space="preserve"> </w:t>
      </w:r>
      <w:r>
        <w:t xml:space="preserve">The aggregate lifetime cash redemption value of all issued and vested PSUs across all program participants shall not exceed</w:t>
      </w:r>
      <w:r>
        <w:t xml:space="preserve"> </w:t>
      </w:r>
      <w:r>
        <w:rPr>
          <w:b/>
          <w:bCs/>
        </w:rPr>
        <w:t xml:space="preserve">twenty percent (20%) of the Company’s Audited Free Reserves and Surplus</w:t>
      </w:r>
      <w:r>
        <w:t xml:space="preserve"> </w:t>
      </w:r>
      <w:r>
        <w:t xml:space="preserve">(excluding revaluation reserves) as certified in the Year 5 Audited Balance Sheet. Excess liabilities roll forward into subsequent fiscal years without interest.</w:t>
      </w:r>
    </w:p>
    <w:p>
      <w:pPr>
        <w:pStyle w:val="BodyText"/>
      </w:pPr>
      <w:r>
        <w:t xml:space="preserve">4.3.</w:t>
      </w:r>
      <w:r>
        <w:t xml:space="preserve"> </w:t>
      </w:r>
      <w:r>
        <w:rPr>
          <w:b/>
          <w:bCs/>
        </w:rPr>
        <w:t xml:space="preserve">Annual PAT Cash Outlay Ceiling:</w:t>
      </w:r>
      <w:r>
        <w:t xml:space="preserve"> </w:t>
      </w:r>
      <w:r>
        <w:t xml:space="preserve">The Company’s total cash payout across all loyalty and PSU obligations in any single fiscal year shall not exceed</w:t>
      </w:r>
      <w:r>
        <w:t xml:space="preserve"> </w:t>
      </w:r>
      <w:r>
        <w:rPr>
          <w:b/>
          <w:bCs/>
        </w:rPr>
        <w:t xml:space="preserve">twenty percent (20%) of Audited Profit After Tax (PAT)</w:t>
      </w:r>
      <w:r>
        <w:t xml:space="preserve"> </w:t>
      </w:r>
      <w:r>
        <w:t xml:space="preserve">for that year.</w:t>
      </w:r>
    </w:p>
    <w:p>
      <w:pPr>
        <w:pStyle w:val="BodyText"/>
      </w:pPr>
      <w:r>
        <w:t xml:space="preserve">4.4.</w:t>
      </w:r>
      <w:r>
        <w:t xml:space="preserve"> </w:t>
      </w:r>
      <w:r>
        <w:rPr>
          <w:b/>
          <w:bCs/>
        </w:rPr>
        <w:t xml:space="preserve">Accelerated Liquidity Event Carve-Out (New Equity Sales):</w:t>
      </w:r>
      <w:r>
        <w:t xml:space="preserve"> </w:t>
      </w:r>
      <w:r>
        <w:t xml:space="preserve">In the event of a Change of Control, qualified institutional equity financing, or strategic promoter secondary share sale prior to or at Month 60:</w:t>
      </w:r>
      <w:r>
        <w:t xml:space="preserve"> </w:t>
      </w:r>
      <w:r>
        <w:t xml:space="preserve">* All unvested PSUs held by Participants in good standing shall accelerate and vest in full;</w:t>
      </w:r>
      <w:r>
        <w:t xml:space="preserve"> </w:t>
      </w:r>
      <w:r>
        <w:t xml:space="preserve">* Redemptions shall be settled directly out of a dedicated transaction carve-out pool equal to</w:t>
      </w:r>
      <w:r>
        <w:t xml:space="preserve"> </w:t>
      </w:r>
      <w:r>
        <w:rPr>
          <w:b/>
          <w:bCs/>
        </w:rPr>
        <w:t xml:space="preserve">not less than ten percent (10%) and not more than fifteen percent (15%) of net realized cash proceeds</w:t>
      </w:r>
      <w:r>
        <w:t xml:space="preserve">, in complete satisfaction of Track 2 liabilities.</w:t>
      </w:r>
    </w:p>
    <w:p>
      <w:r>
        <w:pict>
          <v:rect style="width:0;height:1.5pt" o:hralign="center" o:hrstd="t" o:hr="t"/>
        </w:pict>
      </w:r>
    </w:p>
    <w:bookmarkEnd w:id="15"/>
    <w:bookmarkStart w:id="16" w:name="clause-5-settlement-waterfall-forfeiture"/>
    <w:p>
      <w:pPr>
        <w:pStyle w:val="Heading3"/>
      </w:pPr>
      <w:r>
        <w:t xml:space="preserve">CLAUSE 5: SETTLEMENT WATERFALL &amp; FORFEITURE</w:t>
      </w:r>
    </w:p>
    <w:p>
      <w:pPr>
        <w:pStyle w:val="FirstParagraph"/>
      </w:pPr>
      <w:r>
        <w:t xml:space="preserve">5.1.</w:t>
      </w:r>
      <w:r>
        <w:t xml:space="preserve"> </w:t>
      </w:r>
      <w:r>
        <w:rPr>
          <w:b/>
          <w:bCs/>
        </w:rPr>
        <w:t xml:space="preserve">Staggered 3-Tranche Amortization:</w:t>
      </w:r>
      <w:r>
        <w:t xml:space="preserve"> </w:t>
      </w:r>
      <w:r>
        <w:t xml:space="preserve">The Final Payable PSU Amount shall be settled across twenty-four (24) months:</w:t>
      </w:r>
      <w:r>
        <w:t xml:space="preserve"> </w:t>
      </w:r>
      <w:r>
        <w:t xml:space="preserve">*</w:t>
      </w:r>
      <w:r>
        <w:t xml:space="preserve"> </w:t>
      </w:r>
      <w:r>
        <w:rPr>
          <w:b/>
          <w:bCs/>
        </w:rPr>
        <w:t xml:space="preserve">Tranche 1 (50%):</w:t>
      </w:r>
      <w:r>
        <w:t xml:space="preserve"> </w:t>
      </w:r>
      <w:r>
        <w:t xml:space="preserve">Disbursed within forty-five (45) days of the formal filing of the Year 5 Audited Balance Sheet.</w:t>
      </w:r>
      <w:r>
        <w:t xml:space="preserve"> </w:t>
      </w:r>
      <w:r>
        <w:t xml:space="preserve">*</w:t>
      </w:r>
      <w:r>
        <w:t xml:space="preserve"> </w:t>
      </w:r>
      <w:r>
        <w:rPr>
          <w:b/>
          <w:bCs/>
        </w:rPr>
        <w:t xml:space="preserve">Tranche 2 (25%):</w:t>
      </w:r>
      <w:r>
        <w:t xml:space="preserve"> </w:t>
      </w:r>
      <w:r>
        <w:t xml:space="preserve">Disbursed at Month 66.</w:t>
      </w:r>
      <w:r>
        <w:t xml:space="preserve"> </w:t>
      </w:r>
      <w:r>
        <w:t xml:space="preserve">*</w:t>
      </w:r>
      <w:r>
        <w:t xml:space="preserve"> </w:t>
      </w:r>
      <w:r>
        <w:rPr>
          <w:b/>
          <w:bCs/>
        </w:rPr>
        <w:t xml:space="preserve">Tranche 3 (25%):</w:t>
      </w:r>
      <w:r>
        <w:t xml:space="preserve"> </w:t>
      </w:r>
      <w:r>
        <w:t xml:space="preserve">Disbursed at Month 72.</w:t>
      </w:r>
    </w:p>
    <w:p>
      <w:pPr>
        <w:pStyle w:val="BodyText"/>
      </w:pPr>
      <w:r>
        <w:t xml:space="preserve">5.2.</w:t>
      </w:r>
      <w:r>
        <w:t xml:space="preserve"> </w:t>
      </w:r>
      <w:r>
        <w:rPr>
          <w:b/>
          <w:bCs/>
        </w:rPr>
        <w:t xml:space="preserve">50/50 Settlement Distribution:</w:t>
      </w:r>
      <w:r>
        <w:t xml:space="preserve"> </w:t>
      </w:r>
      <w:r>
        <w:t xml:space="preserve">Each tranche is paid:</w:t>
      </w:r>
      <w:r>
        <w:t xml:space="preserve"> </w:t>
      </w:r>
      <w:r>
        <w:t xml:space="preserve">*</w:t>
      </w:r>
      <w:r>
        <w:t xml:space="preserve"> </w:t>
      </w:r>
      <w:r>
        <w:rPr>
          <w:b/>
          <w:bCs/>
        </w:rPr>
        <w:t xml:space="preserve">50% via Electronic Bank Transfer (RTGS)</w:t>
      </w:r>
      <w:r>
        <w:t xml:space="preserve">, subject to applicable TDS under Section 194R/194H of the Income-tax Act, 1961.</w:t>
      </w:r>
      <w:r>
        <w:t xml:space="preserve"> </w:t>
      </w:r>
      <w:r>
        <w:t xml:space="preserve">*</w:t>
      </w:r>
      <w:r>
        <w:t xml:space="preserve"> </w:t>
      </w:r>
      <w:r>
        <w:rPr>
          <w:b/>
          <w:bCs/>
        </w:rPr>
        <w:t xml:space="preserve">50% via Non-Cash Trade Credit Notes</w:t>
      </w:r>
      <w:r>
        <w:t xml:space="preserve">, redeemable against subsequent bulk orders (capped at 25% of any future invoice value).</w:t>
      </w:r>
    </w:p>
    <w:p>
      <w:pPr>
        <w:pStyle w:val="BodyText"/>
      </w:pPr>
      <w:r>
        <w:t xml:space="preserve">5.3.</w:t>
      </w:r>
      <w:r>
        <w:t xml:space="preserve"> </w:t>
      </w:r>
      <w:r>
        <w:rPr>
          <w:b/>
          <w:bCs/>
        </w:rPr>
        <w:t xml:space="preserve">Active Account Covenant:</w:t>
      </w:r>
      <w:r>
        <w:t xml:space="preserve"> </w:t>
      </w:r>
      <w:r>
        <w:t xml:space="preserve">Tranches 2 and 3 remain contingent upon the Participant maintaining active purchasing status (quarterly volume</w:t>
      </w:r>
      <w:r>
        <w:t xml:space="preserve"> </w:t>
      </w:r>
      <m:oMath>
        <m:r>
          <m:rPr>
            <m:sty m:val="p"/>
          </m:rPr>
          <m:t>≥</m:t>
        </m:r>
        <m:r>
          <m:t>50</m:t>
        </m:r>
        <m:r>
          <m:rPr>
            <m:sty m:val="p"/>
          </m:rPr>
          <m:t>%</m:t>
        </m:r>
      </m:oMath>
      <w:r>
        <w:t xml:space="preserve"> </w:t>
      </w:r>
      <w:r>
        <w:t xml:space="preserve">of trailing historical quarterly run-rate). Defection to competitors or unresolved material defaults forfeits all unpaid tranches.</w:t>
      </w:r>
    </w:p>
    <w:p>
      <w:r>
        <w:pict>
          <v:rect style="width:0;height:1.5pt" o:hralign="center" o:hrstd="t" o:hr="t"/>
        </w:pict>
      </w:r>
    </w:p>
    <w:bookmarkEnd w:id="16"/>
    <w:bookmarkEnd w:id="17"/>
    <w:bookmarkStart w:id="24" w:name="X7ad474107b5cb35270f6229e9e406ecd751b61d"/>
    <w:p>
      <w:pPr>
        <w:pStyle w:val="Heading2"/>
      </w:pPr>
      <w:r>
        <w:t xml:space="preserve">2. Multi-Tier Quantitative Performance Walkthroughs</w:t>
      </w:r>
    </w:p>
    <w:bookmarkStart w:id="18" w:name="X9811811620ce46fd8659c0a27e0e98a176365cc"/>
    <w:p>
      <w:pPr>
        <w:pStyle w:val="Heading3"/>
      </w:pPr>
      <w:r>
        <w:t xml:space="preserve">Corporate Scaling Baseline (Year 1 to Year 5)</w:t>
      </w:r>
    </w:p>
    <w:p>
      <w:pPr>
        <w:pStyle w:val="Compact"/>
        <w:numPr>
          <w:ilvl w:val="0"/>
          <w:numId w:val="1005"/>
        </w:numPr>
      </w:pPr>
      <w:r>
        <w:rPr>
          <w:b/>
          <w:bCs/>
        </w:rPr>
        <w:t xml:space="preserve">Company Turnover:</w:t>
      </w:r>
      <w:r>
        <w:t xml:space="preserve"> </w:t>
      </w:r>
      <w:r>
        <w:t xml:space="preserve">Scales from ₹15 Crore to</w:t>
      </w:r>
      <w:r>
        <w:t xml:space="preserve"> </w:t>
      </w:r>
      <w:r>
        <w:rPr>
          <w:b/>
          <w:bCs/>
        </w:rPr>
        <w:t xml:space="preserve">₹30 Crore</w:t>
      </w:r>
      <w:r>
        <w:t xml:space="preserve"> </w:t>
      </w:r>
      <w:r>
        <w:t xml:space="preserve">(₹110 Crore cumulative 5-year turnover).</w:t>
      </w:r>
    </w:p>
    <w:p>
      <w:pPr>
        <w:pStyle w:val="Compact"/>
        <w:numPr>
          <w:ilvl w:val="0"/>
          <w:numId w:val="1005"/>
        </w:numPr>
      </w:pPr>
      <w:r>
        <w:rPr>
          <w:b/>
          <w:bCs/>
        </w:rPr>
        <w:t xml:space="preserve">Year 5 Audited EBITDA:</w:t>
      </w:r>
      <w:r>
        <w:t xml:space="preserve"> </w:t>
      </w:r>
      <w:r>
        <w:rPr>
          <w:b/>
          <w:bCs/>
        </w:rPr>
        <w:t xml:space="preserve">₹75,00,000</w:t>
      </w:r>
      <w:r>
        <w:t xml:space="preserve">.</w:t>
      </w:r>
    </w:p>
    <w:p>
      <w:pPr>
        <w:pStyle w:val="Compact"/>
        <w:numPr>
          <w:ilvl w:val="0"/>
          <w:numId w:val="1005"/>
        </w:numPr>
      </w:pPr>
      <w:r>
        <w:rPr>
          <w:b/>
          <w:bCs/>
        </w:rPr>
        <w:t xml:space="preserve">Audited Free Reserves:</w:t>
      </w:r>
      <w:r>
        <w:t xml:space="preserve"> </w:t>
      </w:r>
      <w:r>
        <w:rPr>
          <w:b/>
          <w:bCs/>
        </w:rPr>
        <w:t xml:space="preserve">₹1,10,00,000</w:t>
      </w:r>
      <w:r>
        <w:t xml:space="preserve"> </w:t>
      </w:r>
      <m:oMath>
        <m:r>
          <m:rPr>
            <m:sty m:val="p"/>
          </m:rPr>
          <m:t>⟹</m:t>
        </m:r>
      </m:oMath>
      <w:r>
        <w:t xml:space="preserve"> </w:t>
      </w:r>
      <w:r>
        <w:rPr>
          <w:b/>
          <w:bCs/>
        </w:rPr>
        <w:t xml:space="preserve">20% Free Reserves Cap = ₹22,00,000 / year</w:t>
      </w:r>
      <w:r>
        <w:t xml:space="preserve">.</w:t>
      </w:r>
    </w:p>
    <w:p>
      <w:pPr>
        <w:pStyle w:val="Compact"/>
        <w:numPr>
          <w:ilvl w:val="0"/>
          <w:numId w:val="1005"/>
        </w:numPr>
      </w:pPr>
      <w:r>
        <w:rPr>
          <w:b/>
          <w:bCs/>
        </w:rPr>
        <w:t xml:space="preserve">Cohort Qualifying Spend:</w:t>
      </w:r>
      <w:r>
        <w:t xml:space="preserve"> </w:t>
      </w:r>
      <w:r>
        <w:t xml:space="preserve">₹9.36 Crore across 4 participating tiers.</w:t>
      </w:r>
    </w:p>
    <w:p>
      <w:pPr>
        <w:pStyle w:val="Compact"/>
        <w:numPr>
          <w:ilvl w:val="0"/>
          <w:numId w:val="1005"/>
        </w:numPr>
      </w:pPr>
      <w:r>
        <w:rPr>
          <w:b/>
          <w:bCs/>
        </w:rPr>
        <w:t xml:space="preserve">Earned Multiplier (</w:t>
      </w:r>
      <m:oMath>
        <m:sSub>
          <m:e>
            <m:r>
              <m:t>M</m:t>
            </m:r>
          </m:e>
          <m:sub>
            <m:r>
              <m:t>i</m:t>
            </m:r>
          </m:sub>
        </m:sSub>
      </m:oMath>
      <w:r>
        <w:rPr>
          <w:b/>
          <w:bCs/>
        </w:rPr>
        <w:t xml:space="preserve">):</w:t>
      </w:r>
      <w:r>
        <w:t xml:space="preserve"> </w:t>
      </w:r>
      <w:r>
        <w:t xml:space="preserve">8.00x</w:t>
      </w:r>
      <w:r>
        <w:t xml:space="preserve"> </w:t>
      </w:r>
      <m:oMath>
        <m:r>
          <m:rPr>
            <m:sty m:val="p"/>
          </m:rPr>
          <m:t>⟹</m:t>
        </m:r>
      </m:oMath>
      <w:r>
        <w:t xml:space="preserve"> </w:t>
      </w:r>
      <w:r>
        <w:t xml:space="preserve">Enterprise Valuation = ₹6,00,00,000</w:t>
      </w:r>
      <w:r>
        <w:t xml:space="preserve"> </w:t>
      </w:r>
      <m:oMath>
        <m:r>
          <m:rPr>
            <m:sty m:val="p"/>
          </m:rPr>
          <m:t>⟹</m:t>
        </m:r>
      </m:oMath>
      <w:r>
        <w:t xml:space="preserve"> </w:t>
      </w:r>
      <w:r>
        <w:rPr>
          <w:b/>
          <w:bCs/>
        </w:rPr>
        <w:t xml:space="preserve">Exit FMV = ₹60.00 / unit</w:t>
      </w:r>
      <w:r>
        <w:t xml:space="preserve"> </w:t>
      </w:r>
      <w:r>
        <w:t xml:space="preserve">(</w:t>
      </w:r>
      <m:oMath>
        <m:r>
          <m:rPr>
            <m:sty m:val="p"/>
          </m:rPr>
          <m:t>Δ</m:t>
        </m:r>
        <m:r>
          <m:rPr>
            <m:sty m:val="p"/>
          </m:rPr>
          <m:t>=</m:t>
        </m:r>
        <m:r>
          <m:rPr>
            <m:sty m:val="b"/>
          </m:rPr>
          <m:t>₹</m:t>
        </m:r>
        <m:r>
          <m:rPr>
            <m:sty m:val="b"/>
          </m:rPr>
          <m:t>49.20</m:t>
        </m:r>
      </m:oMath>
      <w:r>
        <w:t xml:space="preserve">).</w:t>
      </w:r>
    </w:p>
    <w:p>
      <w:r>
        <w:pict>
          <v:rect style="width:0;height:1.5pt" o:hralign="center" o:hrstd="t" o:hr="t"/>
        </w:pict>
      </w:r>
    </w:p>
    <w:bookmarkEnd w:id="18"/>
    <w:bookmarkStart w:id="19" w:name="Xf59364b269471e2ddfb2ebb23dd97c643b10499"/>
    <w:p>
      <w:pPr>
        <w:pStyle w:val="Heading3"/>
      </w:pPr>
      <w:r>
        <w:t xml:space="preserve">Performance Ledger: Comparison Across All 4 Tiers</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Metric / Step</w:t>
            </w:r>
          </w:p>
        </w:tc>
        <w:tc>
          <w:tcPr/>
          <w:p>
            <w:pPr>
              <w:pStyle w:val="Compact"/>
              <w:jc w:val="center"/>
            </w:pPr>
            <w:r>
              <w:t xml:space="preserve">Tier 1: Micro Café (Client A)</w:t>
            </w:r>
          </w:p>
        </w:tc>
        <w:tc>
          <w:tcPr/>
          <w:p>
            <w:pPr>
              <w:pStyle w:val="Compact"/>
              <w:jc w:val="center"/>
            </w:pPr>
            <w:r>
              <w:t xml:space="preserve">Tier 2: Mid-Sized Dining (Client B)</w:t>
            </w:r>
          </w:p>
        </w:tc>
        <w:tc>
          <w:tcPr/>
          <w:p>
            <w:pPr>
              <w:pStyle w:val="Compact"/>
              <w:jc w:val="center"/>
            </w:pPr>
            <w:r>
              <w:t xml:space="preserve">Tier 3: QSR Chain (Client C)</w:t>
            </w:r>
          </w:p>
        </w:tc>
        <w:tc>
          <w:tcPr/>
          <w:p>
            <w:pPr>
              <w:pStyle w:val="Compact"/>
              <w:jc w:val="center"/>
            </w:pPr>
            <w:r>
              <w:t xml:space="preserve">Tier 4: Enterprise Anchor (Client D)</w:t>
            </w:r>
          </w:p>
        </w:tc>
      </w:tr>
      <w:tr>
        <w:tc>
          <w:tcPr/>
          <w:p>
            <w:pPr>
              <w:pStyle w:val="Compact"/>
              <w:jc w:val="left"/>
            </w:pPr>
            <w:r>
              <w:rPr>
                <w:b/>
                <w:bCs/>
              </w:rPr>
              <w:t xml:space="preserve">Monthly Spend Run-Rate</w:t>
            </w:r>
          </w:p>
        </w:tc>
        <w:tc>
          <w:tcPr/>
          <w:p>
            <w:pPr>
              <w:pStyle w:val="Compact"/>
              <w:jc w:val="center"/>
            </w:pPr>
            <w:r>
              <w:t xml:space="preserve">₹35,000 / month</w:t>
            </w:r>
          </w:p>
        </w:tc>
        <w:tc>
          <w:tcPr/>
          <w:p>
            <w:pPr>
              <w:pStyle w:val="Compact"/>
              <w:jc w:val="center"/>
            </w:pPr>
            <w:r>
              <w:t xml:space="preserve">₹1,25,000 / month</w:t>
            </w:r>
          </w:p>
        </w:tc>
        <w:tc>
          <w:tcPr/>
          <w:p>
            <w:pPr>
              <w:pStyle w:val="Compact"/>
              <w:jc w:val="center"/>
            </w:pPr>
            <w:r>
              <w:t xml:space="preserve">₹4,00,000 / month</w:t>
            </w:r>
          </w:p>
        </w:tc>
        <w:tc>
          <w:tcPr/>
          <w:p>
            <w:pPr>
              <w:pStyle w:val="Compact"/>
              <w:jc w:val="center"/>
            </w:pPr>
            <w:r>
              <w:t xml:space="preserve">₹10,00,000 / month</w:t>
            </w:r>
          </w:p>
        </w:tc>
      </w:tr>
      <w:tr>
        <w:tc>
          <w:tcPr/>
          <w:p>
            <w:pPr>
              <w:pStyle w:val="Compact"/>
              <w:jc w:val="left"/>
            </w:pPr>
            <w:r>
              <w:rPr>
                <w:b/>
                <w:bCs/>
              </w:rPr>
              <w:t xml:space="preserve">Cumulative 5-Year Spend</w:t>
            </w:r>
          </w:p>
        </w:tc>
        <w:tc>
          <w:tcPr/>
          <w:p>
            <w:pPr>
              <w:pStyle w:val="Compact"/>
              <w:jc w:val="center"/>
            </w:pPr>
            <w:r>
              <w:rPr>
                <w:b/>
                <w:bCs/>
              </w:rPr>
              <w:t xml:space="preserve">₹21,00,000</w:t>
            </w:r>
          </w:p>
        </w:tc>
        <w:tc>
          <w:tcPr/>
          <w:p>
            <w:pPr>
              <w:pStyle w:val="Compact"/>
              <w:jc w:val="center"/>
            </w:pPr>
            <w:r>
              <w:rPr>
                <w:b/>
                <w:bCs/>
              </w:rPr>
              <w:t xml:space="preserve">₹75,00,000</w:t>
            </w:r>
          </w:p>
        </w:tc>
        <w:tc>
          <w:tcPr/>
          <w:p>
            <w:pPr>
              <w:pStyle w:val="Compact"/>
              <w:jc w:val="center"/>
            </w:pPr>
            <w:r>
              <w:rPr>
                <w:b/>
                <w:bCs/>
              </w:rPr>
              <w:t xml:space="preserve">₹2,40,00,000</w:t>
            </w:r>
          </w:p>
        </w:tc>
        <w:tc>
          <w:tcPr/>
          <w:p>
            <w:pPr>
              <w:pStyle w:val="Compact"/>
              <w:jc w:val="center"/>
            </w:pPr>
            <w:r>
              <w:rPr>
                <w:b/>
                <w:bCs/>
              </w:rPr>
              <w:t xml:space="preserve">₹6,00,00,000</w:t>
            </w:r>
          </w:p>
        </w:tc>
      </w:tr>
      <w:tr>
        <w:tc>
          <w:tcPr/>
          <w:p>
            <w:pPr>
              <w:pStyle w:val="Compact"/>
              <w:jc w:val="left"/>
            </w:pPr>
            <w:r>
              <w:rPr>
                <w:b/>
                <w:bCs/>
              </w:rPr>
              <w:t xml:space="preserve">Cohort Spend Contribution %</w:t>
            </w:r>
          </w:p>
        </w:tc>
        <w:tc>
          <w:tcPr/>
          <w:p>
            <w:pPr>
              <w:pStyle w:val="Compact"/>
              <w:jc w:val="center"/>
            </w:pPr>
            <w:r>
              <w:t xml:space="preserve">2.24%</w:t>
            </w:r>
          </w:p>
        </w:tc>
        <w:tc>
          <w:tcPr/>
          <w:p>
            <w:pPr>
              <w:pStyle w:val="Compact"/>
              <w:jc w:val="center"/>
            </w:pPr>
            <w:r>
              <w:t xml:space="preserve">8.01%</w:t>
            </w:r>
          </w:p>
        </w:tc>
        <w:tc>
          <w:tcPr/>
          <w:p>
            <w:pPr>
              <w:pStyle w:val="Compact"/>
              <w:jc w:val="center"/>
            </w:pPr>
            <w:r>
              <w:t xml:space="preserve">25.64%</w:t>
            </w:r>
          </w:p>
        </w:tc>
        <w:tc>
          <w:tcPr/>
          <w:p>
            <w:pPr>
              <w:pStyle w:val="Compact"/>
              <w:jc w:val="center"/>
            </w:pPr>
            <w:r>
              <w:t xml:space="preserve">64.10%</w:t>
            </w:r>
          </w:p>
        </w:tc>
      </w:tr>
      <w:tr>
        <w:tc>
          <w:tcPr/>
          <w:p>
            <w:pPr>
              <w:pStyle w:val="Compact"/>
              <w:jc w:val="left"/>
            </w:pPr>
            <w:r>
              <w:rPr>
                <w:b/>
                <w:bCs/>
              </w:rPr>
              <w:t xml:space="preserve">PSU Allocation (3L Pool)</w:t>
            </w:r>
          </w:p>
        </w:tc>
        <w:tc>
          <w:tcPr/>
          <w:p>
            <w:pPr>
              <w:pStyle w:val="Compact"/>
              <w:jc w:val="center"/>
            </w:pPr>
            <w:r>
              <w:rPr>
                <w:b/>
                <w:bCs/>
              </w:rPr>
              <w:t xml:space="preserve">6,731 Units</w:t>
            </w:r>
          </w:p>
        </w:tc>
        <w:tc>
          <w:tcPr/>
          <w:p>
            <w:pPr>
              <w:pStyle w:val="Compact"/>
              <w:jc w:val="center"/>
            </w:pPr>
            <w:r>
              <w:rPr>
                <w:b/>
                <w:bCs/>
              </w:rPr>
              <w:t xml:space="preserve">24,038 Units</w:t>
            </w:r>
          </w:p>
        </w:tc>
        <w:tc>
          <w:tcPr/>
          <w:p>
            <w:pPr>
              <w:pStyle w:val="Compact"/>
              <w:jc w:val="center"/>
            </w:pPr>
            <w:r>
              <w:rPr>
                <w:b/>
                <w:bCs/>
              </w:rPr>
              <w:t xml:space="preserve">76,923 Units</w:t>
            </w:r>
          </w:p>
        </w:tc>
        <w:tc>
          <w:tcPr/>
          <w:p>
            <w:pPr>
              <w:pStyle w:val="Compact"/>
              <w:jc w:val="center"/>
            </w:pPr>
            <w:r>
              <w:rPr>
                <w:b/>
                <w:bCs/>
              </w:rPr>
              <w:t xml:space="preserve">1,92,308 Units</w:t>
            </w:r>
          </w:p>
        </w:tc>
      </w:tr>
      <w:tr>
        <w:tc>
          <w:tcPr/>
          <w:p>
            <w:pPr>
              <w:pStyle w:val="Compact"/>
              <w:jc w:val="left"/>
            </w:pPr>
            <w:r>
              <w:rPr>
                <w:b/>
                <w:bCs/>
              </w:rPr>
              <w:t xml:space="preserve">Track 1 Credits Claimed (2.25%)</w:t>
            </w:r>
          </w:p>
        </w:tc>
        <w:tc>
          <w:tcPr/>
          <w:p>
            <w:pPr>
              <w:pStyle w:val="Compact"/>
              <w:jc w:val="center"/>
            </w:pPr>
            <w:r>
              <w:t xml:space="preserve">₹47,250</w:t>
            </w:r>
          </w:p>
        </w:tc>
        <w:tc>
          <w:tcPr/>
          <w:p>
            <w:pPr>
              <w:pStyle w:val="Compact"/>
              <w:jc w:val="center"/>
            </w:pPr>
            <w:r>
              <w:t xml:space="preserve">₹1,68,750</w:t>
            </w:r>
          </w:p>
        </w:tc>
        <w:tc>
          <w:tcPr/>
          <w:p>
            <w:pPr>
              <w:pStyle w:val="Compact"/>
              <w:jc w:val="center"/>
            </w:pPr>
            <w:r>
              <w:t xml:space="preserve">₹5,40,000</w:t>
            </w:r>
          </w:p>
        </w:tc>
        <w:tc>
          <w:tcPr/>
          <w:p>
            <w:pPr>
              <w:pStyle w:val="Compact"/>
              <w:jc w:val="center"/>
            </w:pPr>
            <w:r>
              <w:t xml:space="preserve">₹13,50,000</w:t>
            </w:r>
          </w:p>
        </w:tc>
      </w:tr>
      <w:tr>
        <w:tc>
          <w:tcPr/>
          <w:p>
            <w:pPr>
              <w:pStyle w:val="Compact"/>
              <w:jc w:val="left"/>
            </w:pPr>
            <w:r>
              <w:rPr>
                <w:b/>
                <w:bCs/>
              </w:rPr>
              <w:t xml:space="preserve">Track 2 PSU Payout (</w:t>
            </w:r>
            <m:oMath>
              <m:r>
                <m:rPr>
                  <m:nor/>
                  <m:sty m:val="p"/>
                </m:rPr>
                <m:t>Units</m:t>
              </m:r>
              <m:r>
                <m:rPr>
                  <m:sty m:val="p"/>
                </m:rPr>
                <m:t>×</m:t>
              </m:r>
              <m:r>
                <m:rPr>
                  <m:sty m:val="p"/>
                </m:rPr>
                <m:t>₹</m:t>
              </m:r>
              <m:r>
                <m:t>49.20</m:t>
              </m:r>
            </m:oMath>
            <w:r>
              <w:rPr>
                <w:b/>
                <w:bCs/>
              </w:rPr>
              <w:t xml:space="preserve">)</w:t>
            </w:r>
          </w:p>
        </w:tc>
        <w:tc>
          <w:tcPr/>
          <w:p>
            <w:pPr>
              <w:pStyle w:val="Compact"/>
              <w:jc w:val="center"/>
            </w:pPr>
            <w:r>
              <w:t xml:space="preserve">₹3,31,165</w:t>
            </w:r>
          </w:p>
        </w:tc>
        <w:tc>
          <w:tcPr/>
          <w:p>
            <w:pPr>
              <w:pStyle w:val="Compact"/>
              <w:jc w:val="center"/>
            </w:pPr>
            <w:r>
              <w:t xml:space="preserve">₹11,82,670</w:t>
            </w:r>
          </w:p>
        </w:tc>
        <w:tc>
          <w:tcPr/>
          <w:p>
            <w:pPr>
              <w:pStyle w:val="Compact"/>
              <w:jc w:val="center"/>
            </w:pPr>
            <w:r>
              <w:t xml:space="preserve">₹37,84,612</w:t>
            </w:r>
          </w:p>
        </w:tc>
        <w:tc>
          <w:tcPr/>
          <w:p>
            <w:pPr>
              <w:pStyle w:val="Compact"/>
              <w:jc w:val="center"/>
            </w:pPr>
            <w:r>
              <w:t xml:space="preserve">₹94,61,553</w:t>
            </w:r>
          </w:p>
        </w:tc>
      </w:tr>
      <w:tr>
        <w:tc>
          <w:tcPr/>
          <w:p>
            <w:pPr>
              <w:pStyle w:val="Compact"/>
              <w:jc w:val="left"/>
            </w:pPr>
            <w:r>
              <w:rPr>
                <w:b/>
                <w:bCs/>
              </w:rPr>
              <w:t xml:space="preserve">Total Value Delivered (T1 + T2)</w:t>
            </w:r>
          </w:p>
        </w:tc>
        <w:tc>
          <w:tcPr/>
          <w:p>
            <w:pPr>
              <w:pStyle w:val="Compact"/>
              <w:jc w:val="center"/>
            </w:pPr>
            <w:r>
              <w:rPr>
                <w:b/>
                <w:bCs/>
              </w:rPr>
              <w:t xml:space="preserve">₹3,78,415</w:t>
            </w:r>
          </w:p>
        </w:tc>
        <w:tc>
          <w:tcPr/>
          <w:p>
            <w:pPr>
              <w:pStyle w:val="Compact"/>
              <w:jc w:val="center"/>
            </w:pPr>
            <w:r>
              <w:rPr>
                <w:b/>
                <w:bCs/>
              </w:rPr>
              <w:t xml:space="preserve">₹13,51,420</w:t>
            </w:r>
          </w:p>
        </w:tc>
        <w:tc>
          <w:tcPr/>
          <w:p>
            <w:pPr>
              <w:pStyle w:val="Compact"/>
              <w:jc w:val="center"/>
            </w:pPr>
            <w:r>
              <w:rPr>
                <w:b/>
                <w:bCs/>
              </w:rPr>
              <w:t xml:space="preserve">₹43,24,612</w:t>
            </w:r>
          </w:p>
        </w:tc>
        <w:tc>
          <w:tcPr/>
          <w:p>
            <w:pPr>
              <w:pStyle w:val="Compact"/>
              <w:jc w:val="center"/>
            </w:pPr>
            <w:r>
              <w:rPr>
                <w:b/>
                <w:bCs/>
              </w:rPr>
              <w:t xml:space="preserve">₹1,08,11,553</w:t>
            </w:r>
          </w:p>
        </w:tc>
      </w:tr>
      <w:tr>
        <w:tc>
          <w:tcPr/>
          <w:p>
            <w:pPr>
              <w:pStyle w:val="Compact"/>
              <w:jc w:val="left"/>
            </w:pPr>
            <w:r>
              <w:rPr>
                <w:b/>
                <w:bCs/>
              </w:rPr>
              <w:t xml:space="preserve">Contractual 30% Spend Cap</w:t>
            </w:r>
          </w:p>
        </w:tc>
        <w:tc>
          <w:tcPr/>
          <w:p>
            <w:pPr>
              <w:pStyle w:val="Compact"/>
              <w:jc w:val="center"/>
            </w:pPr>
            <w:r>
              <w:t xml:space="preserve">₹6,30,000</w:t>
            </w:r>
          </w:p>
        </w:tc>
        <w:tc>
          <w:tcPr/>
          <w:p>
            <w:pPr>
              <w:pStyle w:val="Compact"/>
              <w:jc w:val="center"/>
            </w:pPr>
            <w:r>
              <w:t xml:space="preserve">₹22,50,000</w:t>
            </w:r>
          </w:p>
        </w:tc>
        <w:tc>
          <w:tcPr/>
          <w:p>
            <w:pPr>
              <w:pStyle w:val="Compact"/>
              <w:jc w:val="center"/>
            </w:pPr>
            <w:r>
              <w:t xml:space="preserve">₹72,00,000</w:t>
            </w:r>
          </w:p>
        </w:tc>
        <w:tc>
          <w:tcPr/>
          <w:p>
            <w:pPr>
              <w:pStyle w:val="Compact"/>
              <w:jc w:val="center"/>
            </w:pPr>
            <w:r>
              <w:t xml:space="preserve">₹1,80,00,000</w:t>
            </w:r>
          </w:p>
        </w:tc>
      </w:tr>
      <w:tr>
        <w:tc>
          <w:tcPr/>
          <w:p>
            <w:pPr>
              <w:pStyle w:val="Compact"/>
              <w:jc w:val="left"/>
            </w:pPr>
            <w:r>
              <w:rPr>
                <w:b/>
                <w:bCs/>
              </w:rPr>
              <w:t xml:space="preserve">Cap Compliance Status</w:t>
            </w:r>
          </w:p>
        </w:tc>
        <w:tc>
          <w:tcPr/>
          <w:p>
            <w:pPr>
              <w:pStyle w:val="Compact"/>
              <w:jc w:val="center"/>
            </w:pPr>
            <w:r>
              <w:t xml:space="preserve">Intact (Below Cap)</w:t>
            </w:r>
          </w:p>
        </w:tc>
        <w:tc>
          <w:tcPr/>
          <w:p>
            <w:pPr>
              <w:pStyle w:val="Compact"/>
              <w:jc w:val="center"/>
            </w:pPr>
            <w:r>
              <w:t xml:space="preserve">Intact (Below Cap)</w:t>
            </w:r>
          </w:p>
        </w:tc>
        <w:tc>
          <w:tcPr/>
          <w:p>
            <w:pPr>
              <w:pStyle w:val="Compact"/>
              <w:jc w:val="center"/>
            </w:pPr>
            <w:r>
              <w:t xml:space="preserve">Intact (Below Cap)</w:t>
            </w:r>
          </w:p>
        </w:tc>
        <w:tc>
          <w:tcPr/>
          <w:p>
            <w:pPr>
              <w:pStyle w:val="Compact"/>
              <w:jc w:val="center"/>
            </w:pPr>
            <w:r>
              <w:t xml:space="preserve">Intact (Below Cap)</w:t>
            </w:r>
          </w:p>
        </w:tc>
      </w:tr>
      <w:tr>
        <w:tc>
          <w:tcPr/>
          <w:p>
            <w:pPr>
              <w:pStyle w:val="Compact"/>
              <w:jc w:val="left"/>
            </w:pPr>
            <w:r>
              <w:rPr>
                <w:b/>
                <w:bCs/>
              </w:rPr>
              <w:t xml:space="preserve">Effective 5-Year Return %</w:t>
            </w:r>
          </w:p>
        </w:tc>
        <w:tc>
          <w:tcPr/>
          <w:p>
            <w:pPr>
              <w:pStyle w:val="Compact"/>
              <w:jc w:val="center"/>
            </w:pPr>
            <w:r>
              <w:rPr>
                <w:b/>
                <w:bCs/>
              </w:rPr>
              <w:t xml:space="preserve">18.02%</w:t>
            </w:r>
          </w:p>
        </w:tc>
        <w:tc>
          <w:tcPr/>
          <w:p>
            <w:pPr>
              <w:pStyle w:val="Compact"/>
              <w:jc w:val="center"/>
            </w:pPr>
            <w:r>
              <w:rPr>
                <w:b/>
                <w:bCs/>
              </w:rPr>
              <w:t xml:space="preserve">18.02%</w:t>
            </w:r>
          </w:p>
        </w:tc>
        <w:tc>
          <w:tcPr/>
          <w:p>
            <w:pPr>
              <w:pStyle w:val="Compact"/>
              <w:jc w:val="center"/>
            </w:pPr>
            <w:r>
              <w:rPr>
                <w:b/>
                <w:bCs/>
              </w:rPr>
              <w:t xml:space="preserve">18.02%</w:t>
            </w:r>
          </w:p>
        </w:tc>
        <w:tc>
          <w:tcPr/>
          <w:p>
            <w:pPr>
              <w:pStyle w:val="Compact"/>
              <w:jc w:val="center"/>
            </w:pPr>
            <w:r>
              <w:rPr>
                <w:b/>
                <w:bCs/>
              </w:rPr>
              <w:t xml:space="preserve">18.02%</w:t>
            </w:r>
          </w:p>
        </w:tc>
      </w:tr>
    </w:tbl>
    <w:p>
      <w:r>
        <w:pict>
          <v:rect style="width:0;height:1.5pt" o:hralign="center" o:hrstd="t" o:hr="t"/>
        </w:pict>
      </w:r>
    </w:p>
    <w:bookmarkEnd w:id="19"/>
    <w:bookmarkStart w:id="23" w:name="X74b7fdd727a89a7073fd93a1488db20b12ccb3d"/>
    <w:p>
      <w:pPr>
        <w:pStyle w:val="Heading3"/>
      </w:pPr>
      <w:r>
        <w:t xml:space="preserve">Step-by-Step Behavioral Scenario Breakdowns</w:t>
      </w:r>
    </w:p>
    <w:bookmarkStart w:id="20" w:name="X3c77bc49ad12c6798bb07c1a56e7472d9b2e51a"/>
    <w:p>
      <w:pPr>
        <w:pStyle w:val="Heading4"/>
      </w:pPr>
      <w:r>
        <w:t xml:space="preserve">Case 1: The Disciplined Anchor (Tier 4 / Client D)</w:t>
      </w:r>
    </w:p>
    <w:p>
      <w:pPr>
        <w:pStyle w:val="Compact"/>
        <w:numPr>
          <w:ilvl w:val="0"/>
          <w:numId w:val="1006"/>
        </w:numPr>
      </w:pPr>
      <w:r>
        <w:rPr>
          <w:b/>
          <w:bCs/>
        </w:rPr>
        <w:t xml:space="preserve">Spend:</w:t>
      </w:r>
      <w:r>
        <w:t xml:space="preserve"> </w:t>
      </w:r>
      <w:r>
        <w:t xml:space="preserve">₹6.00 Crore across 5 years.</w:t>
      </w:r>
    </w:p>
    <w:p>
      <w:pPr>
        <w:pStyle w:val="Compact"/>
        <w:numPr>
          <w:ilvl w:val="0"/>
          <w:numId w:val="1006"/>
        </w:numPr>
      </w:pPr>
      <w:r>
        <w:rPr>
          <w:b/>
          <w:bCs/>
        </w:rPr>
        <w:t xml:space="preserve">Behavior:</w:t>
      </w:r>
      <w:r>
        <w:t xml:space="preserve"> </w:t>
      </w:r>
      <w:r>
        <w:t xml:space="preserve">100% payments via RTGS</w:t>
      </w:r>
      <w:r>
        <w:t xml:space="preserve"> </w:t>
      </w:r>
      <m:oMath>
        <m:r>
          <m:rPr>
            <m:sty m:val="p"/>
          </m:rPr>
          <m:t>≤</m:t>
        </m:r>
        <m:r>
          <m:t>24</m:t>
        </m:r>
      </m:oMath>
      <w:r>
        <w:t xml:space="preserve"> </w:t>
      </w:r>
      <w:r>
        <w:t xml:space="preserve">hours (+1.00x), scheduled FTL drops</w:t>
      </w:r>
      <w:r>
        <w:t xml:space="preserve"> </w:t>
      </w:r>
      <m:oMath>
        <m:r>
          <m:rPr>
            <m:sty m:val="p"/>
          </m:rPr>
          <m:t>≥</m:t>
        </m:r>
      </m:oMath>
      <w:r>
        <w:t xml:space="preserve"> </w:t>
      </w:r>
      <w:r>
        <w:t xml:space="preserve">₹1.5L (+0.75x), unbroken monthly orders (+0.50x), 12% YoY revenue growth (+1.25x), Class B/C basket expansion (+0.50x).</w:t>
      </w:r>
    </w:p>
    <w:p>
      <w:pPr>
        <w:pStyle w:val="Compact"/>
        <w:numPr>
          <w:ilvl w:val="0"/>
          <w:numId w:val="1006"/>
        </w:numPr>
      </w:pPr>
      <w:r>
        <w:rPr>
          <w:b/>
          <w:bCs/>
        </w:rPr>
        <w:t xml:space="preserve">Earned Multiplier (</w:t>
      </w:r>
      <m:oMath>
        <m:sSub>
          <m:e>
            <m:r>
              <m:t>M</m:t>
            </m:r>
          </m:e>
          <m:sub>
            <m:r>
              <m:t>i</m:t>
            </m:r>
          </m:sub>
        </m:sSub>
      </m:oMath>
      <w:r>
        <w:rPr>
          <w:b/>
          <w:bCs/>
        </w:rPr>
        <w:t xml:space="preserve">):</w:t>
      </w:r>
      <w:r>
        <w:t xml:space="preserve"> </w:t>
      </w:r>
      <m:oMath>
        <m:r>
          <m:t>4.00</m:t>
        </m:r>
        <m:r>
          <m:rPr>
            <m:sty m:val="p"/>
          </m:rPr>
          <m:t>+</m:t>
        </m:r>
        <m:r>
          <m:t>1.00</m:t>
        </m:r>
        <m:r>
          <m:rPr>
            <m:sty m:val="p"/>
          </m:rPr>
          <m:t>+</m:t>
        </m:r>
        <m:r>
          <m:t>0.75</m:t>
        </m:r>
        <m:r>
          <m:rPr>
            <m:sty m:val="p"/>
          </m:rPr>
          <m:t>+</m:t>
        </m:r>
        <m:r>
          <m:t>0.50</m:t>
        </m:r>
        <m:r>
          <m:rPr>
            <m:sty m:val="p"/>
          </m:rPr>
          <m:t>+</m:t>
        </m:r>
        <m:r>
          <m:t>1.25</m:t>
        </m:r>
        <m:r>
          <m:rPr>
            <m:sty m:val="p"/>
          </m:rPr>
          <m:t>+</m:t>
        </m:r>
        <m:r>
          <m:t>0.50</m:t>
        </m:r>
        <m:r>
          <m:rPr>
            <m:sty m:val="p"/>
          </m:rPr>
          <m:t>=</m:t>
        </m:r>
        <m:r>
          <m:rPr>
            <m:sty m:val="b"/>
          </m:rPr>
          <m:t>8.00</m:t>
        </m:r>
        <m:r>
          <m:rPr>
            <m:sty m:val="b"/>
          </m:rPr>
          <m:t>x</m:t>
        </m:r>
      </m:oMath>
      <w:r>
        <w:t xml:space="preserve">.</w:t>
      </w:r>
    </w:p>
    <w:p>
      <w:pPr>
        <w:pStyle w:val="Compact"/>
        <w:numPr>
          <w:ilvl w:val="0"/>
          <w:numId w:val="1006"/>
        </w:numPr>
      </w:pPr>
      <w:r>
        <w:rPr>
          <w:b/>
          <w:bCs/>
        </w:rPr>
        <w:t xml:space="preserve">Payout:</w:t>
      </w:r>
      <w:r>
        <w:t xml:space="preserve"> </w:t>
      </w:r>
      <w:r>
        <w:t xml:space="preserve">Receives</w:t>
      </w:r>
      <w:r>
        <w:t xml:space="preserve"> </w:t>
      </w:r>
      <w:r>
        <w:rPr>
          <w:b/>
          <w:bCs/>
        </w:rPr>
        <w:t xml:space="preserve">₹13,50,000</w:t>
      </w:r>
      <w:r>
        <w:t xml:space="preserve"> </w:t>
      </w:r>
      <w:r>
        <w:t xml:space="preserve">in rolling invoice deductions and</w:t>
      </w:r>
      <w:r>
        <w:t xml:space="preserve"> </w:t>
      </w:r>
      <w:r>
        <w:rPr>
          <w:b/>
          <w:bCs/>
        </w:rPr>
        <w:t xml:space="preserve">₹94,61,553</w:t>
      </w:r>
      <w:r>
        <w:t xml:space="preserve"> </w:t>
      </w:r>
      <w:r>
        <w:t xml:space="preserve">in long-term equity harvest, totaling</w:t>
      </w:r>
      <w:r>
        <w:t xml:space="preserve"> </w:t>
      </w:r>
      <w:r>
        <w:rPr>
          <w:b/>
          <w:bCs/>
        </w:rPr>
        <w:t xml:space="preserve">₹1,08,11,553 (18.02% yield)</w:t>
      </w:r>
      <w:r>
        <w:t xml:space="preserve">. Settled via the 3-tranche 50/50 schedule:</w:t>
      </w:r>
      <w:r>
        <w:t xml:space="preserve"> </w:t>
      </w:r>
      <w:r>
        <w:rPr>
          <w:b/>
          <w:bCs/>
        </w:rPr>
        <w:t xml:space="preserve">₹47.3L Cash Wire / ₹47.3L Trade Credit Notes</w:t>
      </w:r>
      <w:r>
        <w:t xml:space="preserve">.</w:t>
      </w:r>
    </w:p>
    <w:bookmarkEnd w:id="20"/>
    <w:bookmarkStart w:id="21" w:name="Xf4cb3034edcb4905e83d8b0f32f750919c2a85d"/>
    <w:p>
      <w:pPr>
        <w:pStyle w:val="Heading4"/>
      </w:pPr>
      <w:r>
        <w:t xml:space="preserve">Case 2: The High-Margin Small Café (Tier 1 / Client A)</w:t>
      </w:r>
    </w:p>
    <w:p>
      <w:pPr>
        <w:pStyle w:val="Compact"/>
        <w:numPr>
          <w:ilvl w:val="0"/>
          <w:numId w:val="1007"/>
        </w:numPr>
      </w:pPr>
      <w:r>
        <w:rPr>
          <w:b/>
          <w:bCs/>
        </w:rPr>
        <w:t xml:space="preserve">Spend:</w:t>
      </w:r>
      <w:r>
        <w:t xml:space="preserve"> </w:t>
      </w:r>
      <w:r>
        <w:t xml:space="preserve">₹21 Lakhs across 5 years (~₹35k/month).</w:t>
      </w:r>
    </w:p>
    <w:p>
      <w:pPr>
        <w:pStyle w:val="Compact"/>
        <w:numPr>
          <w:ilvl w:val="0"/>
          <w:numId w:val="1007"/>
        </w:numPr>
      </w:pPr>
      <w:r>
        <w:rPr>
          <w:b/>
          <w:bCs/>
        </w:rPr>
        <w:t xml:space="preserve">Behavior:</w:t>
      </w:r>
      <w:r>
        <w:t xml:space="preserve"> </w:t>
      </w:r>
      <w:r>
        <w:t xml:space="preserve">Uses D+1 next-day delivery, batches into ₹35k drops (+0.75x), pays via instant UPI QR on vehicle arrival (+1.00x), continuous ordering (+0.50x), 10% YoY growth (+1.25x), orders whole spices and packaging alongside oil (+0.50x spread).</w:t>
      </w:r>
    </w:p>
    <w:p>
      <w:pPr>
        <w:pStyle w:val="Compact"/>
        <w:numPr>
          <w:ilvl w:val="0"/>
          <w:numId w:val="1007"/>
        </w:numPr>
      </w:pPr>
      <w:r>
        <w:rPr>
          <w:b/>
          <w:bCs/>
        </w:rPr>
        <w:t xml:space="preserve">Earned Multiplier (</w:t>
      </w:r>
      <m:oMath>
        <m:sSub>
          <m:e>
            <m:r>
              <m:t>M</m:t>
            </m:r>
          </m:e>
          <m:sub>
            <m:r>
              <m:t>i</m:t>
            </m:r>
          </m:sub>
        </m:sSub>
      </m:oMath>
      <w:r>
        <w:rPr>
          <w:b/>
          <w:bCs/>
        </w:rPr>
        <w:t xml:space="preserve">):</w:t>
      </w:r>
      <w:r>
        <w:t xml:space="preserve"> </w:t>
      </w:r>
      <m:oMath>
        <m:r>
          <m:t>4.00</m:t>
        </m:r>
        <m:r>
          <m:rPr>
            <m:sty m:val="p"/>
          </m:rPr>
          <m:t>+</m:t>
        </m:r>
        <m:r>
          <m:t>0.75</m:t>
        </m:r>
        <m:r>
          <m:rPr>
            <m:sty m:val="p"/>
          </m:rPr>
          <m:t>+</m:t>
        </m:r>
        <m:r>
          <m:t>1.00</m:t>
        </m:r>
        <m:r>
          <m:rPr>
            <m:sty m:val="p"/>
          </m:rPr>
          <m:t>+</m:t>
        </m:r>
        <m:r>
          <m:t>0.50</m:t>
        </m:r>
        <m:r>
          <m:rPr>
            <m:sty m:val="p"/>
          </m:rPr>
          <m:t>+</m:t>
        </m:r>
        <m:r>
          <m:t>1.25</m:t>
        </m:r>
        <m:r>
          <m:rPr>
            <m:sty m:val="p"/>
          </m:rPr>
          <m:t>+</m:t>
        </m:r>
        <m:r>
          <m:t>0.50</m:t>
        </m:r>
        <m:r>
          <m:rPr>
            <m:sty m:val="p"/>
          </m:rPr>
          <m:t>=</m:t>
        </m:r>
        <m:r>
          <m:rPr>
            <m:sty m:val="b"/>
          </m:rPr>
          <m:t>8.00</m:t>
        </m:r>
        <m:r>
          <m:rPr>
            <m:sty m:val="b"/>
          </m:rPr>
          <m:t>x</m:t>
        </m:r>
      </m:oMath>
      <w:r>
        <w:t xml:space="preserve">.</w:t>
      </w:r>
    </w:p>
    <w:p>
      <w:pPr>
        <w:pStyle w:val="Compact"/>
        <w:numPr>
          <w:ilvl w:val="0"/>
          <w:numId w:val="1007"/>
        </w:numPr>
      </w:pPr>
      <w:r>
        <w:rPr>
          <w:b/>
          <w:bCs/>
        </w:rPr>
        <w:t xml:space="preserve">Payout:</w:t>
      </w:r>
      <w:r>
        <w:t xml:space="preserve"> </w:t>
      </w:r>
      <w:r>
        <w:t xml:space="preserve">Receives</w:t>
      </w:r>
      <w:r>
        <w:t xml:space="preserve"> </w:t>
      </w:r>
      <w:r>
        <w:rPr>
          <w:b/>
          <w:bCs/>
        </w:rPr>
        <w:t xml:space="preserve">₹47,250</w:t>
      </w:r>
      <w:r>
        <w:t xml:space="preserve"> </w:t>
      </w:r>
      <w:r>
        <w:t xml:space="preserve">in rolling invoice deductions and</w:t>
      </w:r>
      <w:r>
        <w:t xml:space="preserve"> </w:t>
      </w:r>
      <w:r>
        <w:rPr>
          <w:b/>
          <w:bCs/>
        </w:rPr>
        <w:t xml:space="preserve">₹3,31,165</w:t>
      </w:r>
      <w:r>
        <w:t xml:space="preserve"> </w:t>
      </w:r>
      <w:r>
        <w:t xml:space="preserve">in Month 60 PSU redemption, totaling</w:t>
      </w:r>
      <w:r>
        <w:t xml:space="preserve"> </w:t>
      </w:r>
      <w:r>
        <w:rPr>
          <w:b/>
          <w:bCs/>
        </w:rPr>
        <w:t xml:space="preserve">₹3,78,415 (18.02% yield)</w:t>
      </w:r>
      <w:r>
        <w:t xml:space="preserve">.</w:t>
      </w:r>
    </w:p>
    <w:bookmarkEnd w:id="21"/>
    <w:bookmarkStart w:id="22" w:name="X40dbfb1eb641e6b53010e172b362d4882434658"/>
    <w:p>
      <w:pPr>
        <w:pStyle w:val="Heading4"/>
      </w:pPr>
      <w:r>
        <w:t xml:space="preserve">Case 3: The Erratic, Late-Paying High-Ticket Buyer (Negative Covenant Impact)</w:t>
      </w:r>
    </w:p>
    <w:p>
      <w:pPr>
        <w:pStyle w:val="Compact"/>
        <w:numPr>
          <w:ilvl w:val="0"/>
          <w:numId w:val="1008"/>
        </w:numPr>
      </w:pPr>
      <w:r>
        <w:rPr>
          <w:b/>
          <w:bCs/>
        </w:rPr>
        <w:t xml:space="preserve">Spend:</w:t>
      </w:r>
      <w:r>
        <w:t xml:space="preserve"> </w:t>
      </w:r>
      <w:r>
        <w:t xml:space="preserve">₹6.00 Crore (Identical spend to Client D).</w:t>
      </w:r>
    </w:p>
    <w:p>
      <w:pPr>
        <w:pStyle w:val="Compact"/>
        <w:numPr>
          <w:ilvl w:val="0"/>
          <w:numId w:val="1008"/>
        </w:numPr>
      </w:pPr>
      <w:r>
        <w:rPr>
          <w:b/>
          <w:bCs/>
        </w:rPr>
        <w:t xml:space="preserve">Behavior:</w:t>
      </w:r>
      <w:r>
        <w:t xml:space="preserve"> </w:t>
      </w:r>
      <w:r>
        <w:t xml:space="preserve">Payments delayed 15–20 days (Tier C = +0.00x), fragmented emergency micro-drops (Tier C = +0.00x), seasonal order drop-offs (Tier C = +0.00x), low-margin commodity only (</w:t>
      </w:r>
      <m:oMath>
        <m:r>
          <m:t>W</m:t>
        </m:r>
        <m:r>
          <m:t>M</m:t>
        </m:r>
        <m:r>
          <m:t>S</m:t>
        </m:r>
        <m:r>
          <m:rPr>
            <m:sty m:val="p"/>
          </m:rPr>
          <m:t>&lt;</m:t>
        </m:r>
        <m:r>
          <m:t>1.25</m:t>
        </m:r>
      </m:oMath>
      <w:r>
        <w:t xml:space="preserve"> </w:t>
      </w:r>
      <w:r>
        <w:t xml:space="preserve">= +0.00x), flat YoY growth (+0.00x).</w:t>
      </w:r>
    </w:p>
    <w:p>
      <w:pPr>
        <w:pStyle w:val="Compact"/>
        <w:numPr>
          <w:ilvl w:val="0"/>
          <w:numId w:val="1008"/>
        </w:numPr>
      </w:pPr>
      <w:r>
        <w:rPr>
          <w:b/>
          <w:bCs/>
        </w:rPr>
        <w:t xml:space="preserve">Earned Multiplier (</w:t>
      </w:r>
      <m:oMath>
        <m:sSub>
          <m:e>
            <m:r>
              <m:t>M</m:t>
            </m:r>
          </m:e>
          <m:sub>
            <m:r>
              <m:t>i</m:t>
            </m:r>
          </m:sub>
        </m:sSub>
      </m:oMath>
      <w:r>
        <w:rPr>
          <w:b/>
          <w:bCs/>
        </w:rPr>
        <w:t xml:space="preserve">):</w:t>
      </w:r>
      <w:r>
        <w:t xml:space="preserve"> </w:t>
      </w:r>
      <w:r>
        <w:t xml:space="preserve">Remains locked at</w:t>
      </w:r>
      <w:r>
        <w:t xml:space="preserve"> </w:t>
      </w:r>
      <w:r>
        <w:rPr>
          <w:b/>
          <w:bCs/>
        </w:rPr>
        <w:t xml:space="preserve">4.00x Base Floor</w:t>
      </w:r>
      <w:r>
        <w:t xml:space="preserve">.</w:t>
      </w:r>
    </w:p>
    <w:p>
      <w:pPr>
        <w:pStyle w:val="Compact"/>
        <w:numPr>
          <w:ilvl w:val="0"/>
          <w:numId w:val="1008"/>
        </w:numPr>
      </w:pPr>
      <w:r>
        <w:rPr>
          <w:b/>
          <w:bCs/>
        </w:rPr>
        <w:t xml:space="preserve">FMV per Unit:</w:t>
      </w:r>
      <w:r>
        <w:t xml:space="preserve"> </w:t>
      </w:r>
      <m:oMath>
        <m:f>
          <m:fPr>
            <m:type m:val="bar"/>
          </m:fPr>
          <m:num>
            <m:r>
              <m:t>4.00</m:t>
            </m:r>
            <m:r>
              <m:rPr>
                <m:sty m:val="p"/>
              </m:rPr>
              <m:t>×</m:t>
            </m:r>
            <m:r>
              <m:rPr>
                <m:sty m:val="p"/>
              </m:rPr>
              <m:t>₹</m:t>
            </m:r>
            <m:r>
              <m:t>75</m:t>
            </m:r>
            <m:r>
              <m:rPr>
                <m:nor/>
                <m:sty m:val="p"/>
              </m:rPr>
              <m:t>L</m:t>
            </m:r>
          </m:num>
          <m:den>
            <m:r>
              <m:t>10</m:t>
            </m:r>
            <m:r>
              <m:rPr>
                <m:sty m:val="p"/>
              </m:rPr>
              <m:t>,</m:t>
            </m:r>
            <m:r>
              <m:t>00</m:t>
            </m:r>
            <m:r>
              <m:rPr>
                <m:sty m:val="p"/>
              </m:rPr>
              <m:t>,</m:t>
            </m:r>
            <m:r>
              <m:t>000</m:t>
            </m:r>
          </m:den>
        </m:f>
        <m:r>
          <m:rPr>
            <m:sty m:val="p"/>
          </m:rPr>
          <m:t>=</m:t>
        </m:r>
        <m:r>
          <m:rPr>
            <m:sty m:val="p"/>
          </m:rPr>
          <m:t>₹</m:t>
        </m:r>
        <m:r>
          <m:t>30.00</m:t>
        </m:r>
        <m:r>
          <m:rPr>
            <m:sty m:val="p"/>
          </m:rPr>
          <m:t>⟹</m:t>
        </m:r>
        <m:r>
          <m:rPr>
            <m:sty m:val="p"/>
          </m:rPr>
          <m:t>Δ</m:t>
        </m:r>
        <m:r>
          <m:rPr>
            <m:sty m:val="p"/>
          </m:rPr>
          <m:t>=</m:t>
        </m:r>
        <m:r>
          <m:rPr>
            <m:sty m:val="p"/>
          </m:rPr>
          <m:t>₹</m:t>
        </m:r>
        <m:r>
          <m:t>30.00</m:t>
        </m:r>
        <m:r>
          <m:rPr>
            <m:sty m:val="p"/>
          </m:rPr>
          <m:t>−</m:t>
        </m:r>
        <m:r>
          <m:rPr>
            <m:sty m:val="p"/>
          </m:rPr>
          <m:t>₹</m:t>
        </m:r>
        <m:r>
          <m:t>10.80</m:t>
        </m:r>
        <m:r>
          <m:rPr>
            <m:sty m:val="p"/>
          </m:rPr>
          <m:t>=</m:t>
        </m:r>
        <m:r>
          <m:rPr>
            <m:sty m:val="b"/>
          </m:rPr>
          <m:t>₹</m:t>
        </m:r>
        <m:r>
          <m:rPr>
            <m:sty m:val="b"/>
          </m:rPr>
          <m:t>19.20</m:t>
        </m:r>
      </m:oMath>
      <w:r>
        <w:t xml:space="preserve">.</w:t>
      </w:r>
    </w:p>
    <w:p>
      <w:pPr>
        <w:pStyle w:val="Compact"/>
        <w:numPr>
          <w:ilvl w:val="0"/>
          <w:numId w:val="1008"/>
        </w:numPr>
      </w:pPr>
      <w:r>
        <w:rPr>
          <w:b/>
          <w:bCs/>
        </w:rPr>
        <w:t xml:space="preserve">Track 1 Credits Claimed:</w:t>
      </w:r>
      <w:r>
        <w:t xml:space="preserve"> </w:t>
      </w:r>
      <w:r>
        <w:t xml:space="preserve">₹0 (Disqualified due to late payments and sub-threshold drops).</w:t>
      </w:r>
    </w:p>
    <w:p>
      <w:pPr>
        <w:pStyle w:val="Compact"/>
        <w:numPr>
          <w:ilvl w:val="0"/>
          <w:numId w:val="1008"/>
        </w:numPr>
      </w:pPr>
      <w:r>
        <w:rPr>
          <w:b/>
          <w:bCs/>
        </w:rPr>
        <w:t xml:space="preserve">Track 2 PSU Payout:</w:t>
      </w:r>
      <w:r>
        <w:t xml:space="preserve"> </w:t>
      </w:r>
      <m:oMath>
        <m:r>
          <m:t>1</m:t>
        </m:r>
        <m:r>
          <m:rPr>
            <m:sty m:val="p"/>
          </m:rPr>
          <m:t>,</m:t>
        </m:r>
        <m:r>
          <m:t>92</m:t>
        </m:r>
        <m:r>
          <m:rPr>
            <m:sty m:val="p"/>
          </m:rPr>
          <m:t>,</m:t>
        </m:r>
        <m:r>
          <m:t>308</m:t>
        </m:r>
        <m:r>
          <m:rPr>
            <m:nor/>
            <m:sty m:val="p"/>
          </m:rPr>
          <m:t> PSUs</m:t>
        </m:r>
        <m:r>
          <m:rPr>
            <m:sty m:val="p"/>
          </m:rPr>
          <m:t>×</m:t>
        </m:r>
        <m:r>
          <m:rPr>
            <m:sty m:val="p"/>
          </m:rPr>
          <m:t>₹</m:t>
        </m:r>
        <m:r>
          <m:t>19.20</m:t>
        </m:r>
        <m:r>
          <m:rPr>
            <m:sty m:val="p"/>
          </m:rPr>
          <m:t>=</m:t>
        </m:r>
        <m:r>
          <m:rPr>
            <m:sty m:val="b"/>
          </m:rPr>
          <m:t>₹</m:t>
        </m:r>
        <m:r>
          <m:rPr>
            <m:sty m:val="b"/>
          </m:rPr>
          <m:t>36</m:t>
        </m:r>
        <m:r>
          <m:rPr>
            <m:sty m:val="b"/>
          </m:rPr>
          <m:t>,</m:t>
        </m:r>
        <m:r>
          <m:rPr>
            <m:sty m:val="b"/>
          </m:rPr>
          <m:t>92</m:t>
        </m:r>
        <m:r>
          <m:rPr>
            <m:sty m:val="b"/>
          </m:rPr>
          <m:t>,</m:t>
        </m:r>
        <m:r>
          <m:rPr>
            <m:sty m:val="b"/>
          </m:rPr>
          <m:t>313</m:t>
        </m:r>
      </m:oMath>
      <w:r>
        <w:t xml:space="preserve">.</w:t>
      </w:r>
    </w:p>
    <w:p>
      <w:pPr>
        <w:pStyle w:val="Compact"/>
        <w:numPr>
          <w:ilvl w:val="0"/>
          <w:numId w:val="1008"/>
        </w:numPr>
      </w:pPr>
      <w:r>
        <w:rPr>
          <w:b/>
          <w:bCs/>
        </w:rPr>
        <w:t xml:space="preserve">Commercial Impact:</w:t>
      </w:r>
      <w:r>
        <w:t xml:space="preserve"> </w:t>
      </w:r>
      <w:r>
        <w:t xml:space="preserve">Payout drops by</w:t>
      </w:r>
      <w:r>
        <w:t xml:space="preserve"> </w:t>
      </w:r>
      <w:r>
        <w:rPr>
          <w:b/>
          <w:bCs/>
        </w:rPr>
        <w:t xml:space="preserve">₹71,19,240 (-66%)</w:t>
      </w:r>
      <w:r>
        <w:t xml:space="preserve"> </w:t>
      </w:r>
      <w:r>
        <w:t xml:space="preserve">compared to disciplined Client D. The unearned ₹71 Lakhs remains in company reserves to cover the financing and delivery friction this client created.</w:t>
      </w:r>
    </w:p>
    <w:p>
      <w:r>
        <w:pict>
          <v:rect style="width:0;height:1.5pt" o:hralign="center" o:hrstd="t" o:hr="t"/>
        </w:pict>
      </w:r>
    </w:p>
    <w:bookmarkEnd w:id="22"/>
    <w:bookmarkEnd w:id="23"/>
    <w:bookmarkEnd w:id="24"/>
    <w:bookmarkStart w:id="25" w:name="execution-formal-signatures"/>
    <w:p>
      <w:pPr>
        <w:pStyle w:val="Heading2"/>
      </w:pPr>
      <w:r>
        <w:t xml:space="preserve">3. Execution &amp; Formal Signatures</w:t>
      </w:r>
    </w:p>
    <w:p>
      <w:pPr>
        <w:pStyle w:val="FirstParagraph"/>
      </w:pPr>
      <w:r>
        <w:t xml:space="preserve">IN WITNESS WHEREOF, the Parties hereto have caused this Master Commercial Terms &amp; Incentive Schedule to be executed by their duly authorized representatives as of the date first written above.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2026-10-03T16:28:50Z</dcterms:created>
  <dcterms:modified xsi:type="dcterms:W3CDTF">2026-10-03T16:28:50Z</dcterms:modified>
</cp:coreProperties>
</file>

<file path=docProps/custom.xml><?xml version="1.0" encoding="utf-8"?>
<Properties xmlns="http://schemas.openxmlformats.org/officeDocument/2006/custom-properties" xmlns:vt="http://schemas.openxmlformats.org/officeDocument/2006/docPropsVTypes"/>
</file>