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Lab 1: Requirements Engineering &amp; UML Use-Case Modelling</w:t>
      </w:r>
    </w:p>
    <w:p>
      <w:pPr>
        <w:jc w:val="center"/>
      </w:pPr>
      <w:r>
        <w:rPr>
          <w:b/>
          <w:sz w:val="24"/>
        </w:rPr>
        <w:t>Problem Statement #10 — Student Club Event Ticketing &amp; Budget Portal</w:t>
      </w:r>
    </w:p>
    <w:p>
      <w:r>
        <w:t>Requirements Table — exactly 5 Functional Requirements and 2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3"/>
        <w:gridCol w:w="1563"/>
        <w:gridCol w:w="1563"/>
        <w:gridCol w:w="1563"/>
        <w:gridCol w:w="1563"/>
        <w:gridCol w:w="1563"/>
        <w:gridCol w:w="1563"/>
      </w:tblGrid>
      <w:tr>
        <w:tc>
          <w:tcPr>
            <w:tcW w:type="dxa" w:w="893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096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792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312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232"/>
          </w:tcPr>
          <w:p>
            <w:r>
              <w:rPr>
                <w:b/>
                <w:sz w:val="16"/>
              </w:rPr>
              <w:t>Rationale</w:t>
            </w:r>
          </w:p>
        </w:tc>
        <w:tc>
          <w:tcPr>
            <w:tcW w:type="dxa" w:w="1800"/>
          </w:tcPr>
          <w:p>
            <w:r>
              <w:rPr>
                <w:b/>
                <w:sz w:val="16"/>
              </w:rPr>
              <w:t>Comments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system shall route event budget proposals through a multi-stage approval workflow (Faculty Coordinator → Finance Office → Dean).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After each digital sign-off, the proposal status advances to the next stage in the sequence. Fail: Any stage is skipped or the proposal reaches the Dean without Finance Office approval.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Core requirement from the problem statement; ensures controlled university budget approval.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Given in problem statement.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system shall allow a Club Lead to submit an event proposal containing the event details, requested budget, and required supporting information.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A submission is accepted only when all mandatory fields are present, and a unique proposal ID and initial status are generated. Fail: An incomplete proposal is submitted.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Provides the starting point for the event and budget workflow.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Derived from the stated need to submit event proposals.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FR-003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system shall generate a unique QR-code ticket for each confirmed attendee registration after the event proposal is approved and ticketing is enabled.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Every confirmed registration receives exactly one unique QR code that can be retrieved from the attendee's ticket record. Fail: Two registrations receive the same ticket identifier.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Implements the secure QR-code ticketing requirement in the problem context.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Derived from the stated ticket-generation workflow.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FR-004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system shall validate a presented QR-code ticket at venue check-in and record whether the attendee is admitted.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A valid unused ticket is marked as checked in and admission is recorded; an invalid or already-used ticket is rejected.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Provides the venue entry function required for ticket-based event attendance.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Supports the QR ticket workflow.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FR-005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system shall allow authorized Campus Admin users to view proposal status, approval history, ticketing status, and event check-in records.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An authorized Campus Admin can view all four information categories for an event; an unauthorized user cannot access the records.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Provides operational oversight across event proposals, approvals, tickets, and attendance.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Uses the Campus Admin stakeholder named in the problem statement.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NFR-001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Nonfunctional — Performance &amp; Security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QR-code ticket scanner API shall validate entry authenticity in under 100 ms at venue check-in points.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Benchmarking tests confirm validation completes in &lt;100 ms under the specified simulated peak load while maintaining ticket authenticity checks. Fail: The target is not met.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Directly provided in the problem statement and critical for fast venue entry.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Given in problem statement.</w:t>
            </w:r>
          </w:p>
        </w:tc>
      </w:tr>
      <w:tr>
        <w:tc>
          <w:tcPr>
            <w:tcW w:type="dxa" w:w="893"/>
            <w:vAlign w:val="top"/>
          </w:tcPr>
          <w:p>
            <w:r>
              <w:rPr>
                <w:sz w:val="14"/>
              </w:rPr>
              <w:t>NFR-002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4"/>
              </w:rPr>
              <w:t>Nonfunctional — Security</w:t>
            </w:r>
          </w:p>
        </w:tc>
        <w:tc>
          <w:tcPr>
            <w:tcW w:type="dxa" w:w="3096"/>
            <w:vAlign w:val="top"/>
          </w:tcPr>
          <w:p>
            <w:r>
              <w:rPr>
                <w:sz w:val="14"/>
              </w:rPr>
              <w:t>The system shall restrict budget approvals, ticket-management actions, and administrative event records to authenticated users with the required role.</w:t>
            </w:r>
          </w:p>
        </w:tc>
        <w:tc>
          <w:tcPr>
            <w:tcW w:type="dxa" w:w="792"/>
            <w:vAlign w:val="top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4"/>
              </w:rPr>
              <w:t>Pass: A user without the required role is denied each restricted operation, while an authorized role can perform it. Fail: Any restricted operation succeeds without the required role.</w:t>
            </w:r>
          </w:p>
        </w:tc>
        <w:tc>
          <w:tcPr>
            <w:tcW w:type="dxa" w:w="2232"/>
            <w:vAlign w:val="top"/>
          </w:tcPr>
          <w:p>
            <w:r>
              <w:rPr>
                <w:sz w:val="14"/>
              </w:rPr>
              <w:t>Protects financial approvals, ticket operations, and administrative records from unauthorized access.</w:t>
            </w:r>
          </w:p>
        </w:tc>
        <w:tc>
          <w:tcPr>
            <w:tcW w:type="dxa" w:w="1800"/>
            <w:vAlign w:val="top"/>
          </w:tcPr>
          <w:p>
            <w:r>
              <w:rPr>
                <w:sz w:val="14"/>
              </w:rPr>
              <w:t>Derived security constraint from the approval and ticketing workflow.</w:t>
            </w:r>
          </w:p>
        </w:tc>
      </w:tr>
    </w:tbl>
    <w:p/>
    <w:p>
      <w:r>
        <w:rPr>
          <w:b/>
        </w:rPr>
        <w:t xml:space="preserve">Requirement quality check: </w:t>
      </w:r>
      <w:r>
        <w:t>Each requirement uses a measurable, testable acceptance criterion with a clear pass/fail condition. The two provided requirements are preserved in substance, while the remaining requirements are derived from the scenario.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