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FUZI Classic Elevators Pvt. Ltd.</w:t>
      </w:r>
    </w:p>
    <w:p>
      <w:pPr>
        <w:pStyle w:val="Normal"/>
      </w:pPr>
      <w:r>
        <w:t xml:space="preserve">Ref. No. FUZI/Classic/2026-27/001</w:t>
      </w:r>
    </w:p>
    <w:p>
      <w:pPr>
        <w:pStyle w:val="Normal"/>
      </w:pPr>
      <w:r>
        <w:t xml:space="preserve">Dated: May 28, 2026</w:t>
      </w:r>
    </w:p>
    <w:p>
      <w:pPr>
        <w:pStyle w:val="Normal"/>
      </w:pPr>
      <w:r>
        <w:t xml:space="preserve">Arihant Towers</w:t>
      </w:r>
    </w:p>
    <w:p>
      <w:pPr>
        <w:pStyle w:val="Normal"/>
      </w:pPr>
      <w:r>
        <w:t xml:space="preserve">Sector 7, Jaipur</w:t>
      </w:r>
    </w:p>
    <w:p>
      <w:pPr>
        <w:pStyle w:val="Normal"/>
      </w:pPr>
      <w:r>
        <w:t xml:space="preserve"/>
      </w:r>
    </w:p>
    <w:p>
      <w:pPr>
        <w:pStyle w:val="Normal"/>
      </w:pPr>
      <w:r>
        <w:t xml:space="preserve">Subject: Supply, Installation, Testing, Commissioning and complete handing over of 01 nos. Elevator for your site at Sector 7, Jaipur.</w:t>
      </w:r>
    </w:p>
    <w:p>
      <w:pPr>
        <w:pStyle w:val="Normal"/>
      </w:pPr>
      <w:r>
        <w:t xml:space="preserve">Reference: Personal discussions and site visit reference.</w:t>
      </w:r>
    </w:p>
    <w:p>
      <w:pPr>
        <w:pStyle w:val="Normal"/>
      </w:pPr>
      <w:r>
        <w:t xml:space="preserve">Dear Sir,</w:t>
      </w:r>
    </w:p>
    <w:p>
      <w:pPr>
        <w:pStyle w:val="Normal"/>
      </w:pPr>
      <w:r>
        <w:t xml:space="preserve">This refers to aforementioned subject in line to SITC of one no. elevator. Further, we thank you for extending your valued enquiry to us. We have pleasure to submit our offer for supply, installation, testing and commissioning and complete handing over of FUZI brand Elevator in the building at the above address.</w:t>
      </w:r>
    </w:p>
    <w:p>
      <w:pPr>
        <w:pStyle w:val="Heading1"/>
      </w:pPr>
      <w:r>
        <w:t xml:space="preserve">ANNEXURE- I</w:t>
      </w:r>
    </w:p>
    <w:p>
      <w:pPr>
        <w:pStyle w:val="Heading1"/>
      </w:pPr>
      <w:r>
        <w:t xml:space="preserve">TECHNICAL SPECIFICATIONS SHEET</w:t>
      </w:r>
    </w:p>
    <w:tbl>
      <w:tblPr>
        <w:tblW w:w="880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800"/>
        <w:gridCol w:w="6000"/>
      </w:tblGrid>
      <w:tr>
        <w:tc>
          <w:tcPr>
            <w:tcW w:w="2800" w:type="dxa"/>
          </w:tcPr>
          <w:p>
            <w:pPr>
              <w:pStyle w:val="Normal"/>
            </w:pPr>
            <w:r>
              <w:t xml:space="preserve">Service</w:t>
            </w:r>
          </w:p>
        </w:tc>
        <w:tc>
          <w:tcPr>
            <w:tcW w:w="6000" w:type="dxa"/>
          </w:tcPr>
          <w:p>
            <w:pPr>
              <w:pStyle w:val="Normal"/>
            </w:pPr>
            <w:r>
              <w:t xml:space="preserve">Residential MRL</w:t>
            </w:r>
          </w:p>
        </w:tc>
      </w:tr>
      <w:tr>
        <w:tc>
          <w:tcPr>
            <w:tcW w:w="2800" w:type="dxa"/>
          </w:tcPr>
          <w:p>
            <w:pPr>
              <w:pStyle w:val="Normal"/>
            </w:pPr>
            <w:r>
              <w:t xml:space="preserve">No. of Elevators</w:t>
            </w:r>
          </w:p>
        </w:tc>
        <w:tc>
          <w:tcPr>
            <w:tcW w:w="6000" w:type="dxa"/>
          </w:tcPr>
          <w:p>
            <w:pPr>
              <w:pStyle w:val="Normal"/>
            </w:pPr>
            <w:r>
              <w:t xml:space="preserve">One (01) no.</w:t>
            </w:r>
          </w:p>
        </w:tc>
      </w:tr>
      <w:tr>
        <w:tc>
          <w:tcPr>
            <w:tcW w:w="2800" w:type="dxa"/>
          </w:tcPr>
          <w:p>
            <w:pPr>
              <w:pStyle w:val="Normal"/>
            </w:pPr>
            <w:r>
              <w:t xml:space="preserve">Capacity</w:t>
            </w:r>
          </w:p>
        </w:tc>
        <w:tc>
          <w:tcPr>
            <w:tcW w:w="6000" w:type="dxa"/>
          </w:tcPr>
          <w:p>
            <w:pPr>
              <w:pStyle w:val="Normal"/>
            </w:pPr>
            <w:r>
              <w:t xml:space="preserve">8-person (630 kg)</w:t>
            </w:r>
          </w:p>
        </w:tc>
      </w:tr>
      <w:tr>
        <w:tc>
          <w:tcPr>
            <w:tcW w:w="2800" w:type="dxa"/>
          </w:tcPr>
          <w:p>
            <w:pPr>
              <w:pStyle w:val="Normal"/>
            </w:pPr>
            <w:r>
              <w:t xml:space="preserve">Speed</w:t>
            </w:r>
          </w:p>
        </w:tc>
        <w:tc>
          <w:tcPr>
            <w:tcW w:w="6000" w:type="dxa"/>
          </w:tcPr>
          <w:p>
            <w:pPr>
              <w:pStyle w:val="Normal"/>
            </w:pPr>
            <w:r>
              <w:t xml:space="preserve">1.0 Meter Per Second</w:t>
            </w:r>
          </w:p>
        </w:tc>
      </w:tr>
      <w:tr>
        <w:tc>
          <w:tcPr>
            <w:tcW w:w="2800" w:type="dxa"/>
          </w:tcPr>
          <w:p>
            <w:pPr>
              <w:pStyle w:val="Normal"/>
            </w:pPr>
            <w:r>
              <w:t xml:space="preserve">Control</w:t>
            </w:r>
          </w:p>
        </w:tc>
        <w:tc>
          <w:tcPr>
            <w:tcW w:w="6000" w:type="dxa"/>
          </w:tcPr>
          <w:p>
            <w:pPr>
              <w:pStyle w:val="Normal"/>
            </w:pPr>
            <w:r>
              <w:t xml:space="preserve">Microprocessor</w:t>
            </w:r>
          </w:p>
        </w:tc>
      </w:tr>
      <w:tr>
        <w:tc>
          <w:tcPr>
            <w:tcW w:w="2800" w:type="dxa"/>
          </w:tcPr>
          <w:p>
            <w:pPr>
              <w:pStyle w:val="Normal"/>
            </w:pPr>
            <w:r>
              <w:t xml:space="preserve">Motor</w:t>
            </w:r>
          </w:p>
        </w:tc>
        <w:tc>
          <w:tcPr>
            <w:tcW w:w="6000" w:type="dxa"/>
          </w:tcPr>
          <w:p>
            <w:pPr>
              <w:pStyle w:val="Normal"/>
            </w:pPr>
            <w:r>
              <w:t xml:space="preserve">Gearless MRL</w:t>
            </w:r>
          </w:p>
        </w:tc>
      </w:tr>
      <w:tr>
        <w:tc>
          <w:tcPr>
            <w:tcW w:w="2800" w:type="dxa"/>
          </w:tcPr>
          <w:p>
            <w:pPr>
              <w:pStyle w:val="Normal"/>
            </w:pPr>
            <w:r>
              <w:t xml:space="preserve">Floors &amp; Opening</w:t>
            </w:r>
          </w:p>
        </w:tc>
        <w:tc>
          <w:tcPr>
            <w:tcW w:w="6000" w:type="dxa"/>
          </w:tcPr>
          <w:p>
            <w:pPr>
              <w:pStyle w:val="Normal"/>
            </w:pPr>
            <w:r>
              <w:t xml:space="preserve">10 stops / openings</w:t>
            </w:r>
          </w:p>
        </w:tc>
      </w:tr>
      <w:tr>
        <w:tc>
          <w:tcPr>
            <w:tcW w:w="2800" w:type="dxa"/>
          </w:tcPr>
          <w:p>
            <w:pPr>
              <w:pStyle w:val="Normal"/>
            </w:pPr>
            <w:r>
              <w:t xml:space="preserve">Door Opening Type</w:t>
            </w:r>
          </w:p>
        </w:tc>
        <w:tc>
          <w:tcPr>
            <w:tcW w:w="6000" w:type="dxa"/>
          </w:tcPr>
          <w:p>
            <w:pPr>
              <w:pStyle w:val="Normal"/>
            </w:pPr>
            <w:r>
              <w:t xml:space="preserve">Automatic SS</w:t>
            </w:r>
          </w:p>
        </w:tc>
      </w:tr>
      <w:tr>
        <w:tc>
          <w:tcPr>
            <w:tcW w:w="2800" w:type="dxa"/>
          </w:tcPr>
          <w:p>
            <w:pPr>
              <w:pStyle w:val="Normal"/>
            </w:pPr>
            <w:r>
              <w:t xml:space="preserve">Door Opening Size</w:t>
            </w:r>
          </w:p>
        </w:tc>
        <w:tc>
          <w:tcPr>
            <w:tcW w:w="6000" w:type="dxa"/>
          </w:tcPr>
          <w:p>
            <w:pPr>
              <w:pStyle w:val="Normal"/>
            </w:pPr>
            <w:r>
              <w:t xml:space="preserve">mm (width) x mm (height)</w:t>
            </w:r>
          </w:p>
        </w:tc>
      </w:tr>
      <w:tr>
        <w:tc>
          <w:tcPr>
            <w:tcW w:w="2800" w:type="dxa"/>
          </w:tcPr>
          <w:p>
            <w:pPr>
              <w:pStyle w:val="Normal"/>
            </w:pPr>
            <w:r>
              <w:t xml:space="preserve">Hoist-way Size Available</w:t>
            </w:r>
          </w:p>
        </w:tc>
        <w:tc>
          <w:tcPr>
            <w:tcW w:w="6000" w:type="dxa"/>
          </w:tcPr>
          <w:p>
            <w:pPr>
              <w:pStyle w:val="Normal"/>
            </w:pPr>
            <w:r>
              <w:t xml:space="preserve">Pit mm, overhead mm</w:t>
            </w:r>
          </w:p>
        </w:tc>
      </w:tr>
      <w:tr>
        <w:tc>
          <w:tcPr>
            <w:tcW w:w="2800" w:type="dxa"/>
          </w:tcPr>
          <w:p>
            <w:pPr>
              <w:pStyle w:val="Normal"/>
            </w:pPr>
            <w:r>
              <w:t xml:space="preserve">Elevator Car</w:t>
            </w:r>
          </w:p>
        </w:tc>
        <w:tc>
          <w:tcPr>
            <w:tcW w:w="6000" w:type="dxa"/>
          </w:tcPr>
          <w:p>
            <w:pPr>
              <w:pStyle w:val="Normal"/>
            </w:pPr>
            <w:r>
              <w:t xml:space="preserve">Standard</w:t>
            </w:r>
          </w:p>
        </w:tc>
      </w:tr>
      <w:tr>
        <w:tc>
          <w:tcPr>
            <w:tcW w:w="2800" w:type="dxa"/>
          </w:tcPr>
          <w:p>
            <w:pPr>
              <w:pStyle w:val="Normal"/>
            </w:pPr>
            <w:r>
              <w:t xml:space="preserve">Hoist-way Entrance</w:t>
            </w:r>
          </w:p>
        </w:tc>
        <w:tc>
          <w:tcPr>
            <w:tcW w:w="6000" w:type="dxa"/>
          </w:tcPr>
          <w:p>
            <w:pPr>
              <w:pStyle w:val="Normal"/>
            </w:pPr>
            <w:r>
              <w:t xml:space="preserve"/>
            </w:r>
          </w:p>
        </w:tc>
      </w:tr>
      <w:tr>
        <w:tc>
          <w:tcPr>
            <w:tcW w:w="2800" w:type="dxa"/>
          </w:tcPr>
          <w:p>
            <w:pPr>
              <w:pStyle w:val="Normal"/>
            </w:pPr>
            <w:r>
              <w:t xml:space="preserve">Other Features</w:t>
            </w:r>
          </w:p>
        </w:tc>
        <w:tc>
          <w:tcPr>
            <w:tcW w:w="6000" w:type="dxa"/>
          </w:tcPr>
          <w:p>
            <w:pPr>
              <w:pStyle w:val="Normal"/>
            </w:pPr>
            <w:r>
              <w:t xml:space="preserve">ARD / Rescue Device</w:t>
            </w:r>
          </w:p>
        </w:tc>
      </w:tr>
      <w:tr>
        <w:tc>
          <w:tcPr>
            <w:tcW w:w="2800" w:type="dxa"/>
          </w:tcPr>
          <w:p>
            <w:pPr>
              <w:pStyle w:val="Normal"/>
            </w:pPr>
            <w:r>
              <w:t xml:space="preserve">Remarks / Accessories</w:t>
            </w:r>
          </w:p>
        </w:tc>
        <w:tc>
          <w:tcPr>
            <w:tcW w:w="6000" w:type="dxa"/>
          </w:tcPr>
          <w:p>
            <w:pPr>
              <w:pStyle w:val="Normal"/>
            </w:pPr>
            <w:r>
              <w:t xml:space="preserve">Quote valid 30 days.</w:t>
            </w:r>
          </w:p>
        </w:tc>
      </w:tr>
    </w:tbl>
    <w:p>
      <w:pPr>
        <w:pStyle w:val="Heading1"/>
      </w:pPr>
      <w:r>
        <w:t xml:space="preserve">Price:</w:t>
      </w:r>
    </w:p>
    <w:p>
      <w:pPr>
        <w:pStyle w:val="Normal"/>
      </w:pPr>
      <w:r>
        <w:t xml:space="preserve">Our price for One number 8-person (630 kg) Gearless MRL Elevator for 10 stops as per Annexure-I will be @ Rs. 1,425,691.00.</w:t>
      </w:r>
    </w:p>
    <w:p>
      <w:pPr>
        <w:pStyle w:val="Heading2"/>
      </w:pPr>
      <w:r>
        <w:t xml:space="preserve">The above offer is Inclusive of:</w:t>
      </w:r>
    </w:p>
    <w:p>
      <w:pPr>
        <w:pStyle w:val="Normal"/>
      </w:pPr>
      <w:r>
        <w:t xml:space="preserve">Installation charges along with 12 months warranty from the date of handing over.</w:t>
      </w:r>
    </w:p>
    <w:p>
      <w:pPr>
        <w:pStyle w:val="Normal"/>
      </w:pPr>
      <w:r>
        <w:t xml:space="preserve">Freight up to the site.</w:t>
      </w:r>
    </w:p>
    <w:p>
      <w:pPr>
        <w:pStyle w:val="Heading2"/>
      </w:pPr>
      <w:r>
        <w:t xml:space="preserve">The above offer is Exclusive of:</w:t>
      </w:r>
    </w:p>
    <w:p>
      <w:pPr>
        <w:pStyle w:val="Normal"/>
      </w:pPr>
      <w:r>
        <w:t xml:space="preserve">Architrave work at all floors. Separating channel work, if applicable. GST @18%.</w:t>
      </w:r>
    </w:p>
    <w:p>
      <w:pPr>
        <w:pStyle w:val="Heading2"/>
      </w:pPr>
      <w:r>
        <w:t xml:space="preserve">Payment Terms:</w:t>
      </w:r>
    </w:p>
    <w:p>
      <w:pPr>
        <w:pStyle w:val="Normal"/>
      </w:pPr>
      <w:r>
        <w:t xml:space="preserve">40% of the contract value advance along with the order.</w:t>
      </w:r>
    </w:p>
    <w:p>
      <w:pPr>
        <w:pStyle w:val="Normal"/>
      </w:pPr>
      <w:r>
        <w:t xml:space="preserve">50% of the contract value on intimation of material readiness at factory.</w:t>
      </w:r>
    </w:p>
    <w:p>
      <w:pPr>
        <w:pStyle w:val="Normal"/>
      </w:pPr>
      <w:r>
        <w:t xml:space="preserve">10% of the contract value along with all taxes at the time of handing over of lift.</w:t>
      </w:r>
    </w:p>
    <w:p>
      <w:pPr>
        <w:pStyle w:val="Heading2"/>
      </w:pPr>
      <w:r>
        <w:t xml:space="preserve">Delivery &amp; Installation Schedule:</w:t>
      </w:r>
    </w:p>
    <w:p>
      <w:pPr>
        <w:pStyle w:val="Normal"/>
      </w:pPr>
      <w:r>
        <w:t xml:space="preserve">GAD will be submitted within ten days from receipt of confirmed written order along with advance payment. Material and installation schedule will proceed as per payment clearance and site readiness.</w:t>
      </w:r>
    </w:p>
    <w:p>
      <w:pPr>
        <w:pStyle w:val="Heading2"/>
      </w:pPr>
      <w:r>
        <w:t xml:space="preserve">Maintenance:</w:t>
      </w:r>
    </w:p>
    <w:p>
      <w:pPr>
        <w:pStyle w:val="Normal"/>
      </w:pPr>
      <w:r>
        <w:t xml:space="preserve">Our offer includes 12 months free maintenance at site including all parts excluding consumables parts such as fan, blower, bulb, tube light, battery and PVC flooring etc.</w:t>
      </w:r>
    </w:p>
    <w:p>
      <w:pPr>
        <w:pStyle w:val="Heading2"/>
      </w:pPr>
      <w:r>
        <w:t xml:space="preserve">Customer Scope of Work:</w:t>
      </w:r>
    </w:p>
    <w:p>
      <w:pPr>
        <w:pStyle w:val="Normal"/>
      </w:pPr>
      <w:r>
        <w:t xml:space="preserve">Lift pit, shaft lighting, shaft whitewash, load hook, power supply, earthing, store space, and all civil work shall be in customer scope as per GAD.</w:t>
      </w:r>
    </w:p>
    <w:p>
      <w:pPr>
        <w:pStyle w:val="Normal"/>
      </w:pPr>
      <w:r>
        <w:t xml:space="preserve">Offer Validity: 30 days from issue</w:t>
      </w:r>
    </w:p>
    <w:p>
      <w:pPr>
        <w:pStyle w:val="Normal"/>
      </w:pPr>
      <w:r>
        <w:t xml:space="preserve">Thanking you with warm regards,</w:t>
      </w:r>
    </w:p>
    <w:p>
      <w:pPr>
        <w:pStyle w:val="Normal"/>
      </w:pPr>
      <w:r>
        <w:t xml:space="preserve">Yours Truly,</w:t>
      </w:r>
    </w:p>
    <w:p>
      <w:pPr>
        <w:pStyle w:val="Normal"/>
      </w:pPr>
      <w:r>
        <w:t xml:space="preserve">For FUZI Classic Elevators Pvt Ltd</w:t>
      </w:r>
    </w:p>
    <w:p>
      <w:pPr>
        <w:pStyle w:val="Normal"/>
      </w:pPr>
      <w:r>
        <w:t xml:space="preserve">(Authorized Signatory)</w:t>
      </w:r>
    </w:p>
    <w:p>
      <w:pPr>
        <w:pStyle w:val="Normal"/>
      </w:pPr>
      <w:r>
        <w:t xml:space="preserve">360, Guru Nanak Pura, Raja Park, Jaipur, Rajasthan, India-302004 | Toll Free-18001028421 | Mobile-09928019671 | atulsinghal@fuzielevators.com</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2"/>
    </w:rPr>
  </w:style>
  <w:style w:type="paragraph" w:styleId="Title">
    <w:name w:val="Title"/>
    <w:rPr>
      <w:b/>
      <w:sz w:val="32"/>
    </w:rPr>
  </w:style>
  <w:style w:type="paragraph" w:styleId="Heading1">
    <w:name w:val="heading 1"/>
    <w:rPr>
      <w:b/>
      <w:sz w:val="26"/>
    </w:rPr>
  </w:style>
  <w:style w:type="paragraph" w:styleId="Heading2">
    <w:name w:val="heading 2"/>
    <w:rPr>
      <w:b/>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s>
</file>