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1E73" w14:textId="77777777" w:rsidR="004E34B7" w:rsidRDefault="00691583">
      <w:pPr>
        <w:spacing w:before="560" w:after="80"/>
        <w:jc w:val="center"/>
      </w:pPr>
      <w:r>
        <w:rPr>
          <w:b/>
          <w:bCs/>
          <w:color w:val="1F3864"/>
          <w:sz w:val="30"/>
          <w:szCs w:val="30"/>
        </w:rPr>
        <w:t>VIT BHOPAL UNIVERSITY</w:t>
      </w:r>
    </w:p>
    <w:p w14:paraId="2C7B11A6" w14:textId="77777777" w:rsidR="004E34B7" w:rsidRDefault="00691583">
      <w:pPr>
        <w:spacing w:after="80"/>
        <w:jc w:val="center"/>
      </w:pPr>
      <w:r>
        <w:rPr>
          <w:color w:val="666666"/>
          <w:sz w:val="22"/>
          <w:szCs w:val="22"/>
        </w:rPr>
        <w:t>School of Computer Science and Engineering</w:t>
      </w:r>
    </w:p>
    <w:p w14:paraId="0860C821" w14:textId="77777777" w:rsidR="004E34B7" w:rsidRDefault="00691583">
      <w:pPr>
        <w:spacing w:after="560"/>
        <w:jc w:val="center"/>
      </w:pPr>
      <w:r>
        <w:rPr>
          <w:color w:val="888888"/>
          <w:sz w:val="20"/>
          <w:szCs w:val="20"/>
        </w:rPr>
        <w:t xml:space="preserve">Bhopal-Indore Highway, </w:t>
      </w:r>
      <w:proofErr w:type="spellStart"/>
      <w:r>
        <w:rPr>
          <w:color w:val="888888"/>
          <w:sz w:val="20"/>
          <w:szCs w:val="20"/>
        </w:rPr>
        <w:t>Kothrikalan</w:t>
      </w:r>
      <w:proofErr w:type="spellEnd"/>
      <w:r>
        <w:rPr>
          <w:color w:val="888888"/>
          <w:sz w:val="20"/>
          <w:szCs w:val="20"/>
        </w:rPr>
        <w:t xml:space="preserve">, </w:t>
      </w:r>
      <w:proofErr w:type="spellStart"/>
      <w:r>
        <w:rPr>
          <w:color w:val="888888"/>
          <w:sz w:val="20"/>
          <w:szCs w:val="20"/>
        </w:rPr>
        <w:t>Sehore</w:t>
      </w:r>
      <w:proofErr w:type="spellEnd"/>
      <w:r>
        <w:rPr>
          <w:color w:val="888888"/>
          <w:sz w:val="20"/>
          <w:szCs w:val="20"/>
        </w:rPr>
        <w:t>, MP – 466114</w:t>
      </w:r>
    </w:p>
    <w:p w14:paraId="03EA3DA8" w14:textId="77777777" w:rsidR="004E34B7" w:rsidRDefault="004E34B7">
      <w:pPr>
        <w:pBdr>
          <w:bottom w:val="thick" w:sz="28" w:space="1" w:color="1F3864"/>
        </w:pBdr>
        <w:spacing w:after="400"/>
      </w:pPr>
    </w:p>
    <w:p w14:paraId="4C4C1B31" w14:textId="77777777" w:rsidR="004E34B7" w:rsidRDefault="00691583">
      <w:pPr>
        <w:spacing w:after="80"/>
        <w:jc w:val="center"/>
      </w:pPr>
      <w:r>
        <w:rPr>
          <w:b/>
          <w:bCs/>
          <w:color w:val="888888"/>
          <w:sz w:val="26"/>
          <w:szCs w:val="26"/>
        </w:rPr>
        <w:t>INDIVIDUAL CASE STUDY REPORT</w:t>
      </w:r>
    </w:p>
    <w:p w14:paraId="1EBBF361" w14:textId="77777777" w:rsidR="004E34B7" w:rsidRDefault="00691583">
      <w:pPr>
        <w:spacing w:after="120"/>
        <w:jc w:val="center"/>
      </w:pPr>
      <w:r>
        <w:rPr>
          <w:b/>
          <w:bCs/>
          <w:color w:val="1F3864"/>
          <w:sz w:val="46"/>
          <w:szCs w:val="46"/>
        </w:rPr>
        <w:t>The Digital Divide Within:</w:t>
      </w:r>
    </w:p>
    <w:p w14:paraId="2B749C24" w14:textId="77777777" w:rsidR="004E34B7" w:rsidRDefault="00691583">
      <w:pPr>
        <w:spacing w:after="80"/>
        <w:jc w:val="center"/>
      </w:pPr>
      <w:r>
        <w:rPr>
          <w:b/>
          <w:bCs/>
          <w:color w:val="2E74B5"/>
          <w:sz w:val="32"/>
          <w:szCs w:val="32"/>
        </w:rPr>
        <w:t>From Basic Tools to Responsible Digital Citizenship</w:t>
      </w:r>
    </w:p>
    <w:p w14:paraId="3396EAFE" w14:textId="77777777" w:rsidR="004E34B7" w:rsidRDefault="00691583">
      <w:pPr>
        <w:spacing w:after="600"/>
        <w:jc w:val="center"/>
      </w:pPr>
      <w:r>
        <w:rPr>
          <w:color w:val="777777"/>
        </w:rPr>
        <w:t>CSE0001 – Digital Literacy  |  Worksheet /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34B7" w14:paraId="66A4BA64"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3FC1EAEA" w14:textId="77777777" w:rsidR="004E34B7" w:rsidRDefault="00691583">
            <w:r>
              <w:rPr>
                <w:b/>
                <w:bCs/>
                <w:color w:val="1F3864"/>
                <w:sz w:val="22"/>
                <w:szCs w:val="22"/>
              </w:rPr>
              <w:t>Student Name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D5DE848" w14:textId="22136B34" w:rsidR="004E34B7" w:rsidRDefault="002431CE" w:rsidP="002431CE">
            <w:pPr>
              <w:tabs>
                <w:tab w:val="left" w:pos="3390"/>
              </w:tabs>
            </w:pPr>
            <w:r>
              <w:t>AARUSHI JAIN</w:t>
            </w:r>
          </w:p>
        </w:tc>
      </w:tr>
      <w:tr w:rsidR="004E34B7" w14:paraId="1F9AA95A"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588F7CEC" w14:textId="77777777" w:rsidR="004E34B7" w:rsidRDefault="00691583">
            <w:r>
              <w:rPr>
                <w:b/>
                <w:bCs/>
                <w:color w:val="1F3864"/>
                <w:sz w:val="22"/>
                <w:szCs w:val="22"/>
              </w:rPr>
              <w:t>Registration No.</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3B84779" w14:textId="170C5DA9" w:rsidR="004E34B7" w:rsidRDefault="00691583">
            <w:r>
              <w:rPr>
                <w:color w:val="1A1A1A"/>
                <w:sz w:val="22"/>
                <w:szCs w:val="22"/>
              </w:rPr>
              <w:t>25BAI1</w:t>
            </w:r>
            <w:r w:rsidR="002431CE">
              <w:rPr>
                <w:color w:val="1A1A1A"/>
                <w:sz w:val="22"/>
                <w:szCs w:val="22"/>
              </w:rPr>
              <w:t>1558</w:t>
            </w:r>
          </w:p>
        </w:tc>
      </w:tr>
      <w:tr w:rsidR="004E34B7" w14:paraId="397F5DE6"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0B5FA49C" w14:textId="77777777" w:rsidR="004E34B7" w:rsidRDefault="00691583">
            <w:r>
              <w:rPr>
                <w:b/>
                <w:bCs/>
                <w:color w:val="1F3864"/>
                <w:sz w:val="22"/>
                <w:szCs w:val="22"/>
              </w:rPr>
              <w:t>Branch</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3AB003" w14:textId="490A6808" w:rsidR="004E34B7" w:rsidRDefault="00691583">
            <w:proofErr w:type="spellStart"/>
            <w:r>
              <w:rPr>
                <w:color w:val="1A1A1A"/>
                <w:sz w:val="22"/>
                <w:szCs w:val="22"/>
              </w:rPr>
              <w:t>B.Tech</w:t>
            </w:r>
            <w:proofErr w:type="spellEnd"/>
            <w:r>
              <w:rPr>
                <w:color w:val="1A1A1A"/>
                <w:sz w:val="22"/>
                <w:szCs w:val="22"/>
              </w:rPr>
              <w:t xml:space="preserve"> – Computer Science &amp; Engineering (CSE </w:t>
            </w:r>
            <w:r w:rsidR="00BE472F">
              <w:rPr>
                <w:color w:val="1A1A1A"/>
                <w:sz w:val="22"/>
                <w:szCs w:val="22"/>
              </w:rPr>
              <w:t>AI &amp; ML</w:t>
            </w:r>
            <w:r>
              <w:rPr>
                <w:color w:val="1A1A1A"/>
                <w:sz w:val="22"/>
                <w:szCs w:val="22"/>
              </w:rPr>
              <w:t>)</w:t>
            </w:r>
          </w:p>
        </w:tc>
      </w:tr>
      <w:tr w:rsidR="004E34B7" w14:paraId="56DD9F5B"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66420F4D" w14:textId="77777777" w:rsidR="004E34B7" w:rsidRDefault="00691583">
            <w:r>
              <w:rPr>
                <w:b/>
                <w:bCs/>
                <w:color w:val="1F3864"/>
                <w:sz w:val="22"/>
                <w:szCs w:val="22"/>
              </w:rPr>
              <w:t>Year / Semester</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51F982" w14:textId="4C0CC042" w:rsidR="004E34B7" w:rsidRDefault="00691583">
            <w:r>
              <w:rPr>
                <w:color w:val="1A1A1A"/>
                <w:sz w:val="22"/>
                <w:szCs w:val="22"/>
              </w:rPr>
              <w:t xml:space="preserve">First Year | Semester </w:t>
            </w:r>
            <w:r w:rsidR="00BE472F">
              <w:rPr>
                <w:color w:val="1A1A1A"/>
                <w:sz w:val="22"/>
                <w:szCs w:val="22"/>
              </w:rPr>
              <w:t>II</w:t>
            </w:r>
            <w:r>
              <w:rPr>
                <w:color w:val="1A1A1A"/>
                <w:sz w:val="22"/>
                <w:szCs w:val="22"/>
              </w:rPr>
              <w:t xml:space="preserve"> | 2025–2026</w:t>
            </w:r>
          </w:p>
        </w:tc>
      </w:tr>
      <w:tr w:rsidR="004E34B7" w14:paraId="4E77E25B"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0F374991" w14:textId="77777777" w:rsidR="004E34B7" w:rsidRDefault="00691583">
            <w:r>
              <w:rPr>
                <w:b/>
                <w:bCs/>
                <w:color w:val="1F3864"/>
                <w:sz w:val="22"/>
                <w:szCs w:val="22"/>
              </w:rPr>
              <w:t>Course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70DFB8B" w14:textId="77777777" w:rsidR="004E34B7" w:rsidRDefault="00691583">
            <w:r>
              <w:rPr>
                <w:color w:val="1A1A1A"/>
                <w:sz w:val="22"/>
                <w:szCs w:val="22"/>
              </w:rPr>
              <w:t>CSE0001 – Digital Literacy</w:t>
            </w:r>
          </w:p>
        </w:tc>
      </w:tr>
      <w:tr w:rsidR="004E34B7" w14:paraId="564ABBDD"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6833953F" w14:textId="77777777" w:rsidR="004E34B7" w:rsidRDefault="00691583">
            <w:r>
              <w:rPr>
                <w:b/>
                <w:bCs/>
                <w:color w:val="1F3864"/>
                <w:sz w:val="22"/>
                <w:szCs w:val="22"/>
              </w:rPr>
              <w:t>Faculty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DF18A13" w14:textId="081B537A" w:rsidR="004E34B7" w:rsidRDefault="00BE472F">
            <w:r>
              <w:t>Professor Kannan</w:t>
            </w:r>
          </w:p>
        </w:tc>
      </w:tr>
      <w:tr w:rsidR="004E34B7" w14:paraId="7579CFFD"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0C15F9A3" w14:textId="77777777" w:rsidR="004E34B7" w:rsidRDefault="00691583">
            <w:r>
              <w:rPr>
                <w:b/>
                <w:bCs/>
                <w:color w:val="1F3864"/>
                <w:sz w:val="22"/>
                <w:szCs w:val="22"/>
              </w:rPr>
              <w:t>Submission Date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216885B" w14:textId="77777777" w:rsidR="004E34B7" w:rsidRDefault="00691583">
            <w:r>
              <w:rPr>
                <w:color w:val="1A1A1A"/>
                <w:sz w:val="22"/>
                <w:szCs w:val="22"/>
              </w:rPr>
              <w:t>31st March 2026</w:t>
            </w:r>
          </w:p>
        </w:tc>
      </w:tr>
      <w:tr w:rsidR="004E34B7" w14:paraId="35CBDB64"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5D2D214F" w14:textId="77777777" w:rsidR="004E34B7" w:rsidRDefault="00691583">
            <w:r>
              <w:rPr>
                <w:b/>
                <w:bCs/>
                <w:color w:val="1F3864"/>
                <w:sz w:val="22"/>
                <w:szCs w:val="22"/>
              </w:rPr>
              <w:t>Max Marks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63AC0B" w14:textId="77777777" w:rsidR="004E34B7" w:rsidRDefault="00691583">
            <w:r>
              <w:rPr>
                <w:color w:val="1A1A1A"/>
                <w:sz w:val="22"/>
                <w:szCs w:val="22"/>
              </w:rPr>
              <w:t>100</w:t>
            </w:r>
          </w:p>
        </w:tc>
      </w:tr>
      <w:tr w:rsidR="004E34B7" w14:paraId="4536AEFB"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40" w:type="dxa"/>
              <w:bottom w:w="80" w:type="dxa"/>
              <w:right w:w="140" w:type="dxa"/>
            </w:tcMar>
          </w:tcPr>
          <w:p w14:paraId="68AC6A69" w14:textId="77777777" w:rsidR="004E34B7" w:rsidRDefault="00691583">
            <w:r>
              <w:rPr>
                <w:b/>
                <w:bCs/>
                <w:color w:val="1F3864"/>
                <w:sz w:val="22"/>
                <w:szCs w:val="22"/>
              </w:rPr>
              <w:t>Filename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97B2B3E" w14:textId="191B8971" w:rsidR="004E34B7" w:rsidRDefault="00691583">
            <w:r>
              <w:rPr>
                <w:color w:val="1A1A1A"/>
                <w:sz w:val="22"/>
                <w:szCs w:val="22"/>
              </w:rPr>
              <w:t>CaseStudy_25BAI1</w:t>
            </w:r>
            <w:r w:rsidR="002431CE">
              <w:rPr>
                <w:color w:val="1A1A1A"/>
                <w:sz w:val="22"/>
                <w:szCs w:val="22"/>
              </w:rPr>
              <w:t>1558</w:t>
            </w:r>
          </w:p>
        </w:tc>
      </w:tr>
    </w:tbl>
    <w:p w14:paraId="5DE3BBA2" w14:textId="77777777" w:rsidR="004E34B7" w:rsidRDefault="004E34B7">
      <w:pPr>
        <w:spacing w:before="80" w:after="80"/>
      </w:pPr>
    </w:p>
    <w:p w14:paraId="04A217A3" w14:textId="77777777" w:rsidR="004E34B7" w:rsidRDefault="00691583">
      <w:pPr>
        <w:spacing w:before="240"/>
        <w:jc w:val="center"/>
      </w:pPr>
      <w:r>
        <w:rPr>
          <w:i/>
          <w:iCs/>
          <w:color w:val="999999"/>
          <w:sz w:val="20"/>
          <w:szCs w:val="20"/>
        </w:rPr>
        <w:t xml:space="preserve">Submission: </w:t>
      </w:r>
      <w:proofErr w:type="spellStart"/>
      <w:r>
        <w:rPr>
          <w:i/>
          <w:iCs/>
          <w:color w:val="999999"/>
          <w:sz w:val="20"/>
          <w:szCs w:val="20"/>
        </w:rPr>
        <w:t>VITyarthi</w:t>
      </w:r>
      <w:proofErr w:type="spellEnd"/>
      <w:r>
        <w:rPr>
          <w:i/>
          <w:iCs/>
          <w:color w:val="999999"/>
          <w:sz w:val="20"/>
          <w:szCs w:val="20"/>
        </w:rPr>
        <w:t xml:space="preserve"> Portal  |  Format: PDF</w:t>
      </w:r>
    </w:p>
    <w:p w14:paraId="59717D43" w14:textId="77777777" w:rsidR="004E34B7" w:rsidRDefault="00691583">
      <w:r>
        <w:br w:type="page"/>
      </w:r>
    </w:p>
    <w:p w14:paraId="71DF6441" w14:textId="77777777" w:rsidR="004E34B7" w:rsidRDefault="004E34B7">
      <w:pPr>
        <w:sectPr w:rsidR="004E34B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2216078D" w14:textId="77777777" w:rsidR="004E34B7" w:rsidRDefault="00691583">
      <w:pPr>
        <w:pStyle w:val="Heading1"/>
        <w:pBdr>
          <w:bottom w:val="single" w:sz="8" w:space="4" w:color="2E74B5"/>
        </w:pBdr>
      </w:pPr>
      <w:r>
        <w:lastRenderedPageBreak/>
        <w:t>Table of Contents</w:t>
      </w:r>
    </w:p>
    <w:p w14:paraId="422C8277" w14:textId="77777777" w:rsidR="004E34B7" w:rsidRDefault="00691583">
      <w:pPr>
        <w:spacing w:before="60" w:after="60"/>
      </w:pPr>
      <w:r>
        <w:rPr>
          <w:b/>
          <w:bCs/>
          <w:color w:val="1F3864"/>
        </w:rPr>
        <w:t xml:space="preserve">Section A: </w:t>
      </w:r>
      <w:r>
        <w:rPr>
          <w:color w:val="1A1A1A"/>
        </w:rPr>
        <w:t>Establishing the Context</w:t>
      </w:r>
    </w:p>
    <w:p w14:paraId="4095EBB1" w14:textId="77777777" w:rsidR="004E34B7" w:rsidRDefault="00691583">
      <w:pPr>
        <w:spacing w:before="60" w:after="60"/>
      </w:pPr>
      <w:r>
        <w:rPr>
          <w:b/>
          <w:bCs/>
          <w:color w:val="1F3864"/>
        </w:rPr>
        <w:t xml:space="preserve">Section B: </w:t>
      </w:r>
      <w:r>
        <w:rPr>
          <w:color w:val="1A1A1A"/>
        </w:rPr>
        <w:t>Digital Identity and Ethics</w:t>
      </w:r>
    </w:p>
    <w:p w14:paraId="527FC4AF" w14:textId="77777777" w:rsidR="004E34B7" w:rsidRDefault="00691583">
      <w:pPr>
        <w:spacing w:before="60" w:after="60"/>
      </w:pPr>
      <w:r>
        <w:rPr>
          <w:b/>
          <w:bCs/>
          <w:color w:val="1F3864"/>
        </w:rPr>
        <w:t xml:space="preserve">Section C: </w:t>
      </w:r>
      <w:r>
        <w:rPr>
          <w:color w:val="1A1A1A"/>
        </w:rPr>
        <w:t>Collaboration vs. Misuse</w:t>
      </w:r>
    </w:p>
    <w:p w14:paraId="0AA9502F" w14:textId="77777777" w:rsidR="004E34B7" w:rsidRDefault="00691583">
      <w:pPr>
        <w:spacing w:before="60" w:after="60"/>
      </w:pPr>
      <w:r>
        <w:rPr>
          <w:b/>
          <w:bCs/>
          <w:color w:val="1F3864"/>
        </w:rPr>
        <w:t xml:space="preserve">Section D: </w:t>
      </w:r>
      <w:r>
        <w:rPr>
          <w:color w:val="1A1A1A"/>
        </w:rPr>
        <w:t>Cyber Awareness and Responsibility</w:t>
      </w:r>
    </w:p>
    <w:p w14:paraId="1C75D00D" w14:textId="77777777" w:rsidR="004E34B7" w:rsidRDefault="00691583">
      <w:pPr>
        <w:spacing w:before="60" w:after="60"/>
      </w:pPr>
      <w:r>
        <w:rPr>
          <w:b/>
          <w:bCs/>
          <w:color w:val="1F3864"/>
        </w:rPr>
        <w:t xml:space="preserve">Section E: </w:t>
      </w:r>
      <w:r>
        <w:rPr>
          <w:color w:val="1A1A1A"/>
        </w:rPr>
        <w:t>Communication and Digital Etiquette</w:t>
      </w:r>
    </w:p>
    <w:p w14:paraId="6EBB464E" w14:textId="77777777" w:rsidR="004E34B7" w:rsidRDefault="00691583">
      <w:pPr>
        <w:spacing w:before="60" w:after="60"/>
      </w:pPr>
      <w:r>
        <w:rPr>
          <w:b/>
          <w:bCs/>
          <w:color w:val="1F3864"/>
        </w:rPr>
        <w:t xml:space="preserve">Section F: </w:t>
      </w:r>
      <w:r>
        <w:rPr>
          <w:color w:val="1A1A1A"/>
        </w:rPr>
        <w:t>Personal Reflection</w:t>
      </w:r>
    </w:p>
    <w:p w14:paraId="21851865" w14:textId="77777777" w:rsidR="004E34B7" w:rsidRDefault="004E34B7">
      <w:pPr>
        <w:spacing w:before="80" w:after="80"/>
      </w:pPr>
    </w:p>
    <w:p w14:paraId="0A05B07D" w14:textId="77777777" w:rsidR="004E34B7" w:rsidRDefault="00691583">
      <w:pPr>
        <w:spacing w:before="80" w:after="80"/>
      </w:pPr>
      <w:r>
        <w:rPr>
          <w:b/>
          <w:bCs/>
          <w:color w:val="1F3864"/>
        </w:rP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4E34B7" w14:paraId="49B1FBCE"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505E11" w14:textId="77777777" w:rsidR="004E34B7" w:rsidRDefault="00691583">
            <w:r>
              <w:rPr>
                <w:b/>
                <w:bCs/>
                <w:color w:val="FFFFFF"/>
                <w:sz w:val="22"/>
                <w:szCs w:val="22"/>
              </w:rPr>
              <w:t>Section</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355D90" w14:textId="77777777" w:rsidR="004E34B7" w:rsidRDefault="00691583">
            <w:r>
              <w:rPr>
                <w:b/>
                <w:bCs/>
                <w:color w:val="FFFFFF"/>
                <w:sz w:val="22"/>
                <w:szCs w:val="22"/>
              </w:rPr>
              <w:t>Focus Area</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53174E" w14:textId="77777777" w:rsidR="004E34B7" w:rsidRDefault="00691583">
            <w:pPr>
              <w:jc w:val="center"/>
            </w:pPr>
            <w:r>
              <w:rPr>
                <w:b/>
                <w:bCs/>
                <w:color w:val="FFFFFF"/>
                <w:sz w:val="22"/>
                <w:szCs w:val="22"/>
              </w:rPr>
              <w:t>Marks</w:t>
            </w:r>
          </w:p>
        </w:tc>
      </w:tr>
      <w:tr w:rsidR="004E34B7" w14:paraId="22D8246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5E594" w14:textId="77777777" w:rsidR="004E34B7" w:rsidRDefault="00691583">
            <w:r>
              <w:rPr>
                <w:color w:val="1A1A1A"/>
                <w:sz w:val="22"/>
                <w:szCs w:val="22"/>
              </w:rPr>
              <w:t>Section 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52D23" w14:textId="77777777" w:rsidR="004E34B7" w:rsidRDefault="00691583">
            <w:r>
              <w:rPr>
                <w:color w:val="1A1A1A"/>
                <w:sz w:val="22"/>
                <w:szCs w:val="22"/>
              </w:rPr>
              <w:t>Context — Tool usage vs. digital literacy gap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197C4" w14:textId="77777777" w:rsidR="004E34B7" w:rsidRDefault="00691583">
            <w:pPr>
              <w:jc w:val="center"/>
            </w:pPr>
            <w:r>
              <w:rPr>
                <w:color w:val="1A1A1A"/>
                <w:sz w:val="22"/>
                <w:szCs w:val="22"/>
              </w:rPr>
              <w:t>15</w:t>
            </w:r>
          </w:p>
        </w:tc>
      </w:tr>
      <w:tr w:rsidR="004E34B7" w14:paraId="36A47F1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F85F79" w14:textId="77777777" w:rsidR="004E34B7" w:rsidRDefault="00691583">
            <w:r>
              <w:rPr>
                <w:color w:val="1A1A1A"/>
                <w:sz w:val="22"/>
                <w:szCs w:val="22"/>
              </w:rPr>
              <w:t>Section B</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7394AD" w14:textId="77777777" w:rsidR="004E34B7" w:rsidRDefault="00691583">
            <w:r>
              <w:rPr>
                <w:color w:val="1A1A1A"/>
                <w:sz w:val="22"/>
                <w:szCs w:val="22"/>
              </w:rPr>
              <w:t>Digital Identity and Ethics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1B8405" w14:textId="77777777" w:rsidR="004E34B7" w:rsidRDefault="00691583">
            <w:pPr>
              <w:jc w:val="center"/>
            </w:pPr>
            <w:r>
              <w:rPr>
                <w:color w:val="1A1A1A"/>
                <w:sz w:val="22"/>
                <w:szCs w:val="22"/>
              </w:rPr>
              <w:t>25</w:t>
            </w:r>
          </w:p>
        </w:tc>
      </w:tr>
      <w:tr w:rsidR="004E34B7" w14:paraId="34C7574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D90CA" w14:textId="77777777" w:rsidR="004E34B7" w:rsidRDefault="00691583">
            <w:r>
              <w:rPr>
                <w:color w:val="1A1A1A"/>
                <w:sz w:val="22"/>
                <w:szCs w:val="22"/>
              </w:rPr>
              <w:t>Section 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88EFE" w14:textId="77777777" w:rsidR="004E34B7" w:rsidRDefault="00691583">
            <w:r>
              <w:rPr>
                <w:color w:val="1A1A1A"/>
                <w:sz w:val="22"/>
                <w:szCs w:val="22"/>
              </w:rPr>
              <w:t>Collaboration vs. Misuse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2788C" w14:textId="77777777" w:rsidR="004E34B7" w:rsidRDefault="00691583">
            <w:pPr>
              <w:jc w:val="center"/>
            </w:pPr>
            <w:r>
              <w:rPr>
                <w:color w:val="1A1A1A"/>
                <w:sz w:val="22"/>
                <w:szCs w:val="22"/>
              </w:rPr>
              <w:t>20</w:t>
            </w:r>
          </w:p>
        </w:tc>
      </w:tr>
      <w:tr w:rsidR="004E34B7" w14:paraId="440F764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6BC5AF" w14:textId="77777777" w:rsidR="004E34B7" w:rsidRDefault="00691583">
            <w:r>
              <w:rPr>
                <w:color w:val="1A1A1A"/>
                <w:sz w:val="22"/>
                <w:szCs w:val="22"/>
              </w:rPr>
              <w:t>Section D</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8BBFAF" w14:textId="77777777" w:rsidR="004E34B7" w:rsidRDefault="00691583">
            <w:r>
              <w:rPr>
                <w:color w:val="1A1A1A"/>
                <w:sz w:val="22"/>
                <w:szCs w:val="22"/>
              </w:rPr>
              <w:t>Cyber Awareness and Responsibility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45991A" w14:textId="77777777" w:rsidR="004E34B7" w:rsidRDefault="00691583">
            <w:pPr>
              <w:jc w:val="center"/>
            </w:pPr>
            <w:r>
              <w:rPr>
                <w:color w:val="1A1A1A"/>
                <w:sz w:val="22"/>
                <w:szCs w:val="22"/>
              </w:rPr>
              <w:t>15</w:t>
            </w:r>
          </w:p>
        </w:tc>
      </w:tr>
      <w:tr w:rsidR="004E34B7" w14:paraId="25EBBF1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A4B8E" w14:textId="77777777" w:rsidR="004E34B7" w:rsidRDefault="00691583">
            <w:r>
              <w:rPr>
                <w:color w:val="1A1A1A"/>
                <w:sz w:val="22"/>
                <w:szCs w:val="22"/>
              </w:rPr>
              <w:t>Section 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1496B" w14:textId="77777777" w:rsidR="004E34B7" w:rsidRDefault="00691583">
            <w:r>
              <w:rPr>
                <w:color w:val="1A1A1A"/>
                <w:sz w:val="22"/>
                <w:szCs w:val="22"/>
              </w:rPr>
              <w:t>Communication and Digital Etiquette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A8EF9" w14:textId="77777777" w:rsidR="004E34B7" w:rsidRDefault="00691583">
            <w:pPr>
              <w:jc w:val="center"/>
            </w:pPr>
            <w:r>
              <w:rPr>
                <w:color w:val="1A1A1A"/>
                <w:sz w:val="22"/>
                <w:szCs w:val="22"/>
              </w:rPr>
              <w:t>15</w:t>
            </w:r>
          </w:p>
        </w:tc>
      </w:tr>
      <w:tr w:rsidR="004E34B7" w14:paraId="559D6AD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0EF759" w14:textId="77777777" w:rsidR="004E34B7" w:rsidRDefault="00691583">
            <w:r>
              <w:rPr>
                <w:color w:val="1A1A1A"/>
                <w:sz w:val="22"/>
                <w:szCs w:val="22"/>
              </w:rPr>
              <w:t>Section F</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34064C" w14:textId="77777777" w:rsidR="004E34B7" w:rsidRDefault="00691583">
            <w:r>
              <w:rPr>
                <w:color w:val="1A1A1A"/>
                <w:sz w:val="22"/>
                <w:szCs w:val="22"/>
              </w:rPr>
              <w:t>Personal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E259D8" w14:textId="77777777" w:rsidR="004E34B7" w:rsidRDefault="00691583">
            <w:pPr>
              <w:jc w:val="center"/>
            </w:pPr>
            <w:r>
              <w:rPr>
                <w:color w:val="1A1A1A"/>
                <w:sz w:val="22"/>
                <w:szCs w:val="22"/>
              </w:rPr>
              <w:t>10</w:t>
            </w:r>
          </w:p>
        </w:tc>
      </w:tr>
      <w:tr w:rsidR="004E34B7" w14:paraId="3A2C7775"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189CDD" w14:textId="77777777" w:rsidR="004E34B7" w:rsidRDefault="004E34B7"/>
        </w:tc>
        <w:tc>
          <w:tcPr>
            <w:tcW w:w="5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468D33" w14:textId="77777777" w:rsidR="004E34B7" w:rsidRDefault="00691583">
            <w:r>
              <w:rPr>
                <w:b/>
                <w:bCs/>
                <w:color w:val="1A1A1A"/>
                <w:sz w:val="22"/>
                <w:szCs w:val="22"/>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A398DF" w14:textId="77777777" w:rsidR="004E34B7" w:rsidRDefault="00691583">
            <w:pPr>
              <w:jc w:val="center"/>
            </w:pPr>
            <w:r>
              <w:rPr>
                <w:b/>
                <w:bCs/>
                <w:color w:val="1A1A1A"/>
                <w:sz w:val="22"/>
                <w:szCs w:val="22"/>
              </w:rPr>
              <w:t>100</w:t>
            </w:r>
          </w:p>
        </w:tc>
      </w:tr>
    </w:tbl>
    <w:p w14:paraId="56EF922D" w14:textId="77777777" w:rsidR="004E34B7" w:rsidRDefault="00691583">
      <w:r>
        <w:br w:type="page"/>
      </w:r>
    </w:p>
    <w:p w14:paraId="3FC7BDE9" w14:textId="77777777" w:rsidR="004E34B7" w:rsidRDefault="00691583">
      <w:pPr>
        <w:pStyle w:val="Heading1"/>
        <w:pBdr>
          <w:bottom w:val="single" w:sz="8" w:space="4" w:color="2E74B5"/>
        </w:pBdr>
      </w:pPr>
      <w:r>
        <w:lastRenderedPageBreak/>
        <w:t>Section A: Establishing the Context</w:t>
      </w:r>
    </w:p>
    <w:p w14:paraId="6CCD6D42" w14:textId="77777777" w:rsidR="004E34B7" w:rsidRDefault="00691583">
      <w:pPr>
        <w:pStyle w:val="Heading2"/>
      </w:pPr>
      <w:r>
        <w:t>A.1  The Gap Nobody Talks About</w:t>
      </w:r>
    </w:p>
    <w:p w14:paraId="1FE5601C" w14:textId="77777777" w:rsidR="004E34B7" w:rsidRDefault="00691583">
      <w:pPr>
        <w:spacing w:before="80" w:after="140" w:line="432" w:lineRule="auto"/>
        <w:jc w:val="both"/>
      </w:pPr>
      <w:r>
        <w:rPr>
          <w:color w:val="1A1A1A"/>
        </w:rPr>
        <w:t>There is a quiet assumption that runs through most college campuses today: if a student can use digital tools, they are digitally literate. They can create a Canva presentation, share files on Google Drive, post on LinkedIn, and push code to GitHub. From the outside, this looks like competence. From the inside, however, something important is missing.</w:t>
      </w:r>
    </w:p>
    <w:p w14:paraId="3DA4D1A3" w14:textId="77777777" w:rsidR="004E34B7" w:rsidRDefault="00691583">
      <w:pPr>
        <w:spacing w:before="80" w:after="140" w:line="432" w:lineRule="auto"/>
        <w:jc w:val="both"/>
      </w:pPr>
      <w:r>
        <w:rPr>
          <w:color w:val="1A1A1A"/>
        </w:rPr>
        <w:t>The case of Arjun illustrates this gap clearly. He was not a passive or disinterested student. He actively built profiles, participated in online platforms, and engaged with collaborative tools. Yet, his actions repeatedly led to outcomes he did not anticipate — a reputation that did not reflect his actual skills, a group project where marks were earned but learning was not, an email that created the wrong impression, and an inbox that led him straight into a phishing trap.</w:t>
      </w:r>
    </w:p>
    <w:p w14:paraId="770B2E48" w14:textId="77777777" w:rsidR="004E34B7" w:rsidRDefault="00691583">
      <w:pPr>
        <w:spacing w:before="80" w:after="140" w:line="432" w:lineRule="auto"/>
        <w:jc w:val="both"/>
      </w:pPr>
      <w:r>
        <w:rPr>
          <w:color w:val="1A1A1A"/>
        </w:rPr>
        <w:t>None of these failures happened because Arjun lacked access to information. He had access to the same tools, the same platforms, and arguably the same awareness as any other student. What he lacked was something more fundamental: the habit of thinking critically before acting digitally.</w:t>
      </w:r>
    </w:p>
    <w:p w14:paraId="02FB78B8" w14:textId="77777777" w:rsidR="004E34B7" w:rsidRDefault="004E34B7">
      <w:pPr>
        <w:spacing w:before="80" w:after="80"/>
      </w:pPr>
    </w:p>
    <w:p w14:paraId="0452E85D" w14:textId="77777777" w:rsidR="004E34B7" w:rsidRDefault="00691583">
      <w:pPr>
        <w:pStyle w:val="Heading2"/>
      </w:pPr>
      <w:r>
        <w:t>A.2  Why Familiarity Creates a False Sense of Safety</w:t>
      </w:r>
    </w:p>
    <w:p w14:paraId="7BA8F021" w14:textId="77777777" w:rsidR="004E34B7" w:rsidRDefault="00691583">
      <w:pPr>
        <w:spacing w:before="80" w:after="140" w:line="432" w:lineRule="auto"/>
        <w:jc w:val="both"/>
      </w:pPr>
      <w:r>
        <w:rPr>
          <w:color w:val="1A1A1A"/>
        </w:rPr>
        <w:t>The problem is not that digital tools are bad. The problem is that they are so well-designed for ease of use that they remove the need to think. A student who applies a Canva template does not need to understand visual hierarchy, copyright, or the ethical implications of reusing content. A student who sends a quick email does not need to think about tone, structure, or the impression it creates. The tool handles everything except judgment.</w:t>
      </w:r>
    </w:p>
    <w:p w14:paraId="1B11299A" w14:textId="77777777" w:rsidR="004E34B7" w:rsidRDefault="00691583">
      <w:pPr>
        <w:spacing w:before="80" w:after="140" w:line="432" w:lineRule="auto"/>
        <w:jc w:val="both"/>
      </w:pPr>
      <w:r>
        <w:rPr>
          <w:color w:val="1A1A1A"/>
        </w:rPr>
        <w:t>This is what I would describe as the convenience trap. The more seamless a tool becomes, the more invisible its implications are. And the more invisible the implications, the less students reflect on them. Over time, repeated usage without reflection becomes habit. And habit, in the digital world, can be genuinely dangerous.</w:t>
      </w:r>
    </w:p>
    <w:p w14:paraId="7C75BACE" w14:textId="77777777" w:rsidR="004E34B7" w:rsidRDefault="00691583">
      <w:pPr>
        <w:spacing w:before="80" w:after="140" w:line="432" w:lineRule="auto"/>
        <w:jc w:val="both"/>
      </w:pPr>
      <w:r>
        <w:rPr>
          <w:color w:val="1A1A1A"/>
        </w:rPr>
        <w:lastRenderedPageBreak/>
        <w:t>Consider what this means at scale. Thousands of students are building GitHub profiles without understanding version control ethics. Thousands are posting on LinkedIn without questioning whether their listed skills are genuinely developed. Thousands are participating in group assignments on Google Docs without thinking about whether their contribution is fair. They are all digitally active. But digital activity and digital literacy are not the same thing.</w:t>
      </w:r>
    </w:p>
    <w:p w14:paraId="4B8C6413" w14:textId="77777777" w:rsidR="004E34B7" w:rsidRDefault="004E34B7">
      <w:pPr>
        <w:spacing w:before="80" w:after="80"/>
      </w:pPr>
    </w:p>
    <w:p w14:paraId="63E814D3" w14:textId="77777777" w:rsidR="004E34B7" w:rsidRDefault="00691583">
      <w:pPr>
        <w:pStyle w:val="Heading2"/>
      </w:pPr>
      <w:r>
        <w:t>A.3  The Difference Between Participation and Literacy</w:t>
      </w:r>
    </w:p>
    <w:p w14:paraId="5973E061" w14:textId="77777777" w:rsidR="004E34B7" w:rsidRDefault="00691583">
      <w:pPr>
        <w:spacing w:before="80" w:after="140" w:line="432" w:lineRule="auto"/>
        <w:jc w:val="both"/>
      </w:pPr>
      <w:r>
        <w:rPr>
          <w:color w:val="1A1A1A"/>
        </w:rPr>
        <w:t>Digital participation means being present on platforms — posting, clicking, creating, sharing. Digital literacy means understanding the consequences of those actions. It means knowing that a poorly written GitHub repository is a permanent public record. It means recognising that an exaggerated LinkedIn profile is not just a harmless self-promotion strategy — it is a representation of your professional identity that will be tested in interviews. It means understanding that an urgent, official-looking email is not necessarily trustworthy.</w:t>
      </w:r>
    </w:p>
    <w:p w14:paraId="4D73E17F" w14:textId="77777777" w:rsidR="004E34B7" w:rsidRDefault="00691583">
      <w:pPr>
        <w:spacing w:before="80" w:after="140" w:line="432" w:lineRule="auto"/>
        <w:jc w:val="both"/>
      </w:pPr>
      <w:r>
        <w:rPr>
          <w:color w:val="1A1A1A"/>
        </w:rPr>
        <w:t>The case study captures this distinction well through Arjun’s story. At every stage, he participated actively. He never stopped to be literate. The result was a series of avoidable mistakes, each one rooted not in ignorance of the tool, but in insufficient reflection on what using the tool actually meant.</w:t>
      </w:r>
    </w:p>
    <w:p w14:paraId="719EB36E" w14:textId="77777777" w:rsidR="004E34B7" w:rsidRDefault="00691583">
      <w:pPr>
        <w:spacing w:before="80" w:after="140" w:line="432" w:lineRule="auto"/>
        <w:jc w:val="both"/>
      </w:pPr>
      <w:r>
        <w:rPr>
          <w:color w:val="1A1A1A"/>
        </w:rPr>
        <w:t>This is why the gap matters. It is not a small or technical gap that can be closed by watching a tutorial or attending a one-hour workshop. It is a gap in thinking — in the habit of asking “what does this action mean?” before acting. Developing that habit is, in my view, the actual goal of digital literacy education.</w:t>
      </w:r>
    </w:p>
    <w:p w14:paraId="70566B2F" w14:textId="77777777" w:rsidR="004E34B7" w:rsidRDefault="00691583">
      <w:r>
        <w:br w:type="page"/>
      </w:r>
    </w:p>
    <w:p w14:paraId="3E5ADD64" w14:textId="77777777" w:rsidR="004E34B7" w:rsidRDefault="00691583">
      <w:pPr>
        <w:pStyle w:val="Heading1"/>
        <w:pBdr>
          <w:bottom w:val="single" w:sz="8" w:space="4" w:color="2E74B5"/>
        </w:pBdr>
      </w:pPr>
      <w:r>
        <w:lastRenderedPageBreak/>
        <w:t>Section B: Digital Identity and Ethics</w:t>
      </w:r>
    </w:p>
    <w:p w14:paraId="3EEC0DC9" w14:textId="77777777" w:rsidR="004E34B7" w:rsidRDefault="00691583">
      <w:pPr>
        <w:pStyle w:val="Heading2"/>
      </w:pPr>
      <w:r>
        <w:t>B.1  My Position</w:t>
      </w:r>
    </w:p>
    <w:p w14:paraId="00D9A44D" w14:textId="77777777" w:rsidR="004E34B7" w:rsidRDefault="00691583">
      <w:pPr>
        <w:spacing w:before="80" w:after="140" w:line="432" w:lineRule="auto"/>
        <w:jc w:val="both"/>
      </w:pPr>
      <w:r>
        <w:rPr>
          <w:color w:val="1A1A1A"/>
        </w:rPr>
        <w:t>I want to be direct about my position before building the argument: digital platforms do genuinely benefit students, but not in the equal, neutral way we are encouraged to believe. The benefits are real, but they come packaged with risks that are systematic, not accidental — and that disproportionately affect students who are new to these platforms, which means almost every first-year college student.</w:t>
      </w:r>
    </w:p>
    <w:p w14:paraId="3880CE01" w14:textId="77777777" w:rsidR="004E34B7" w:rsidRDefault="00691583">
      <w:pPr>
        <w:spacing w:before="80" w:after="140" w:line="432" w:lineRule="auto"/>
        <w:jc w:val="both"/>
      </w:pPr>
      <w:r>
        <w:rPr>
          <w:color w:val="1A1A1A"/>
        </w:rPr>
        <w:t>This is not an argument against building a digital presence. It is an argument for approaching it with considerably more awareness than most students currently bring to it.</w:t>
      </w:r>
    </w:p>
    <w:p w14:paraId="406BC066" w14:textId="77777777" w:rsidR="004E34B7" w:rsidRDefault="004E34B7">
      <w:pPr>
        <w:spacing w:before="80" w:after="80"/>
      </w:pPr>
    </w:p>
    <w:p w14:paraId="00C0EBAA" w14:textId="77777777" w:rsidR="004E34B7" w:rsidRDefault="00691583">
      <w:pPr>
        <w:pStyle w:val="Heading2"/>
      </w:pPr>
      <w:r>
        <w:t>B.2  The Equality Argument — And Why It Is Partially True</w:t>
      </w:r>
    </w:p>
    <w:p w14:paraId="041D8DBC" w14:textId="77777777" w:rsidR="004E34B7" w:rsidRDefault="00691583">
      <w:pPr>
        <w:spacing w:before="80" w:after="140" w:line="432" w:lineRule="auto"/>
        <w:jc w:val="both"/>
      </w:pPr>
      <w:r>
        <w:rPr>
          <w:color w:val="1A1A1A"/>
        </w:rPr>
        <w:t>There is a genuinely compelling case to be made that platforms like LinkedIn and GitHub democratise opportunity. A student from a smaller town with no alumni network and no family connections can, in theory, build a portfolio that is visible to the same recruiters who review profiles from students at elite institutions. The playing field, in terms of visibility, is more level than it has ever been.</w:t>
      </w:r>
    </w:p>
    <w:p w14:paraId="7CD328E1" w14:textId="77777777" w:rsidR="004E34B7" w:rsidRDefault="00691583">
      <w:pPr>
        <w:spacing w:before="80" w:after="140" w:line="432" w:lineRule="auto"/>
        <w:jc w:val="both"/>
      </w:pPr>
      <w:r>
        <w:rPr>
          <w:color w:val="1A1A1A"/>
        </w:rPr>
        <w:t>This is not entirely wrong. I have seen examples of students from non-metro colleges landing strong internships purely on the strength of their GitHub contributions or their engagement on LinkedIn. The platform does not inherently discriminate based on geography or background. What it does discriminate on is quality of content and consistency of presence.</w:t>
      </w:r>
    </w:p>
    <w:p w14:paraId="4BD4454B" w14:textId="77777777" w:rsidR="004E34B7" w:rsidRDefault="00691583">
      <w:pPr>
        <w:spacing w:before="80" w:after="140" w:line="432" w:lineRule="auto"/>
        <w:jc w:val="both"/>
      </w:pPr>
      <w:r>
        <w:rPr>
          <w:color w:val="1A1A1A"/>
        </w:rPr>
        <w:t>However, the problem is that not all students arrive at these platforms with equal preparation. A student who has grown up around technology, who has been guided by a tech-savvy family member or a well-resourced school, will know how to present their work effectively from the beginning. A student without that background will make the same mistakes Arjun made — listing skills they have barely touched, uploading incomplete work, and building a profile that looks active but does not hold up under scrutiny.</w:t>
      </w:r>
    </w:p>
    <w:p w14:paraId="29732B15" w14:textId="77777777" w:rsidR="004E34B7" w:rsidRDefault="00691583">
      <w:pPr>
        <w:spacing w:before="80" w:after="140" w:line="432" w:lineRule="auto"/>
        <w:jc w:val="both"/>
      </w:pPr>
      <w:proofErr w:type="gramStart"/>
      <w:r>
        <w:rPr>
          <w:color w:val="1A1A1A"/>
        </w:rPr>
        <w:t>So</w:t>
      </w:r>
      <w:proofErr w:type="gramEnd"/>
      <w:r>
        <w:rPr>
          <w:color w:val="1A1A1A"/>
        </w:rPr>
        <w:t xml:space="preserve"> the equality is real at the level of access. It is far less real at the level of outcome.</w:t>
      </w:r>
    </w:p>
    <w:p w14:paraId="4248A07E" w14:textId="77777777" w:rsidR="004E34B7" w:rsidRDefault="004E34B7">
      <w:pPr>
        <w:spacing w:before="80" w:after="80"/>
      </w:pPr>
    </w:p>
    <w:p w14:paraId="7741CFC5" w14:textId="77777777" w:rsidR="004E34B7" w:rsidRDefault="00691583">
      <w:pPr>
        <w:pStyle w:val="Heading2"/>
      </w:pPr>
      <w:r>
        <w:t>B.3  Performance Over Authenticity</w:t>
      </w:r>
    </w:p>
    <w:p w14:paraId="32CCBC24" w14:textId="77777777" w:rsidR="004E34B7" w:rsidRDefault="00691583">
      <w:pPr>
        <w:spacing w:before="80" w:after="140" w:line="432" w:lineRule="auto"/>
        <w:jc w:val="both"/>
      </w:pPr>
      <w:r>
        <w:rPr>
          <w:color w:val="1A1A1A"/>
        </w:rPr>
        <w:t>The second issue is one I find more troubling, because it is something I notice in my own environment. There is enormous pressure, particularly in the first year of an engineering degree, to appear capable before you actually are. LinkedIn rewards early activity. GitHub shows contribution graphs. Kaggle ranks users by competition results. All of these systems are designed to reward visible participation, not necessarily genuine competence.</w:t>
      </w:r>
    </w:p>
    <w:p w14:paraId="735A896A" w14:textId="77777777" w:rsidR="004E34B7" w:rsidRDefault="00691583">
      <w:pPr>
        <w:spacing w:before="80" w:after="140" w:line="432" w:lineRule="auto"/>
        <w:jc w:val="both"/>
      </w:pPr>
      <w:r>
        <w:rPr>
          <w:color w:val="1A1A1A"/>
        </w:rPr>
        <w:t>The result is predictable. Students begin to optimise for visibility rather than learning. They add skills to their LinkedIn that they have encountered in a single YouTube video. They push code to GitHub that is copied from tutorials, with minimal modification. They claim certifications that they earned by passing a multiple-choice quiz after watching a pre-recorded course at 2x speed.</w:t>
      </w:r>
    </w:p>
    <w:p w14:paraId="7356ADA0" w14:textId="77777777" w:rsidR="004E34B7" w:rsidRDefault="00691583">
      <w:pPr>
        <w:spacing w:before="80" w:after="140" w:line="432" w:lineRule="auto"/>
        <w:jc w:val="both"/>
      </w:pPr>
      <w:r>
        <w:rPr>
          <w:color w:val="1A1A1A"/>
        </w:rPr>
        <w:t>None of this is explicitly dishonest. But it creates an environment where the performance of learning becomes more important than learning itself. Arjun’s case illustrates this well — his profile looked confident and capable, but the substance behind it was thin. The problem is not Arjun’s character. The problem is that the system rewarded the appearance of competence before he had built the actual competence.</w:t>
      </w:r>
    </w:p>
    <w:p w14:paraId="5F4FD8B8" w14:textId="77777777" w:rsidR="004E34B7" w:rsidRDefault="004E34B7">
      <w:pPr>
        <w:spacing w:before="80" w:after="80"/>
      </w:pPr>
    </w:p>
    <w:p w14:paraId="153A05F4" w14:textId="77777777" w:rsidR="004E34B7" w:rsidRDefault="00691583">
      <w:pPr>
        <w:pStyle w:val="Heading2"/>
      </w:pPr>
      <w:r>
        <w:t>B.4  On Misrepresentation — A Line That Is Blurry</w:t>
      </w:r>
    </w:p>
    <w:p w14:paraId="6E0325D3" w14:textId="77777777" w:rsidR="004E34B7" w:rsidRDefault="00691583">
      <w:pPr>
        <w:spacing w:before="80" w:after="140" w:line="432" w:lineRule="auto"/>
        <w:jc w:val="both"/>
      </w:pPr>
      <w:r>
        <w:rPr>
          <w:color w:val="1A1A1A"/>
        </w:rPr>
        <w:t>This brings me to the ethics question. Is exaggerating skills on a digital platform ethically wrong, or is it just how the game is played?</w:t>
      </w:r>
    </w:p>
    <w:p w14:paraId="09CEF4BC" w14:textId="77777777" w:rsidR="004E34B7" w:rsidRDefault="00691583">
      <w:pPr>
        <w:spacing w:before="80" w:after="140" w:line="432" w:lineRule="auto"/>
        <w:jc w:val="both"/>
      </w:pPr>
      <w:r>
        <w:rPr>
          <w:color w:val="1A1A1A"/>
        </w:rPr>
        <w:t>I think the honest answer is: it depends on the degree. Presenting yourself in the most favourable light is not dishonest. Every cover letter, every resume, every LinkedIn summary does this. The issue arises when the gap between presentation and reality becomes so wide that the claim cannot be substantiated.</w:t>
      </w:r>
    </w:p>
    <w:p w14:paraId="638F851F" w14:textId="77777777" w:rsidR="004E34B7" w:rsidRDefault="00691583">
      <w:pPr>
        <w:spacing w:before="80" w:after="140" w:line="432" w:lineRule="auto"/>
        <w:jc w:val="both"/>
      </w:pPr>
      <w:r>
        <w:rPr>
          <w:color w:val="1A1A1A"/>
        </w:rPr>
        <w:t xml:space="preserve">If a student lists “Python” as a skill after completing a two-week introductory course, that is debatable but arguably defensible. If they claim “Machine Learning” as an advanced skill after </w:t>
      </w:r>
      <w:r>
        <w:rPr>
          <w:color w:val="1A1A1A"/>
        </w:rPr>
        <w:lastRenderedPageBreak/>
        <w:t>watching three YouTube videos, that is a misrepresentation that will be exposed in any serious technical conversation.</w:t>
      </w:r>
    </w:p>
    <w:p w14:paraId="13F2D247" w14:textId="77777777" w:rsidR="004E34B7" w:rsidRDefault="00691583">
      <w:pPr>
        <w:spacing w:before="80" w:after="140" w:line="432" w:lineRule="auto"/>
        <w:jc w:val="both"/>
      </w:pPr>
      <w:r>
        <w:rPr>
          <w:color w:val="1A1A1A"/>
        </w:rPr>
        <w:t>The ethical problem is not just personal. When students routinely exaggerate on platforms, it raises the baseline for everyone. It forces other students to either exaggerate similarly or appear less qualified by comparison. This is a race to the bottom that harms the ecosystem as a whole, including the students who are participating in it.</w:t>
      </w:r>
    </w:p>
    <w:p w14:paraId="6579A35D" w14:textId="77777777" w:rsidR="004E34B7" w:rsidRDefault="004E34B7">
      <w:pPr>
        <w:spacing w:before="80" w:after="80"/>
      </w:pPr>
    </w:p>
    <w:p w14:paraId="067D221F" w14:textId="77777777" w:rsidR="004E34B7" w:rsidRDefault="00691583">
      <w:pPr>
        <w:pStyle w:val="Heading2"/>
      </w:pPr>
      <w:r>
        <w:t>B.5  Digital Permanence — The Cost of Early Ignorance</w:t>
      </w:r>
    </w:p>
    <w:p w14:paraId="0992B1FE" w14:textId="77777777" w:rsidR="004E34B7" w:rsidRDefault="00691583">
      <w:pPr>
        <w:spacing w:before="80" w:after="140" w:line="432" w:lineRule="auto"/>
        <w:jc w:val="both"/>
      </w:pPr>
      <w:r>
        <w:rPr>
          <w:color w:val="1A1A1A"/>
        </w:rPr>
        <w:t>Perhaps the most underappreciated risk of building a digital presence early is permanence. Digital platforms do not forget. A poorly documented repository from first year will still be visible when a recruiter reviews your GitHub three years later. An answer posted on Stack Overflow that turned out to be incorrect will remain searchable. A LinkedIn post written carelessly at eighteen will exist when you are twenty-two and applying for your first serious job.</w:t>
      </w:r>
    </w:p>
    <w:p w14:paraId="5BC30FA0" w14:textId="77777777" w:rsidR="004E34B7" w:rsidRDefault="00691583">
      <w:pPr>
        <w:spacing w:before="80" w:after="140" w:line="432" w:lineRule="auto"/>
        <w:jc w:val="both"/>
      </w:pPr>
      <w:r>
        <w:rPr>
          <w:color w:val="1A1A1A"/>
        </w:rPr>
        <w:t>I think students should be held accountable for their digital actions, but that accountability should be proportionate to their level of awareness at the time. Holding an eighteen-year-old first-year student to the same standard as a professional with five years of experience is not reasonable. What is reasonable is expecting students to develop better habits over time, and expecting institutions to prepare them for this reality before they start building their public digital footprint.</w:t>
      </w:r>
    </w:p>
    <w:p w14:paraId="653B495C" w14:textId="77777777" w:rsidR="004E34B7" w:rsidRDefault="00691583">
      <w:pPr>
        <w:spacing w:before="80" w:after="140" w:line="432" w:lineRule="auto"/>
        <w:jc w:val="both"/>
      </w:pPr>
      <w:r>
        <w:rPr>
          <w:color w:val="1A1A1A"/>
        </w:rPr>
        <w:t>The bottom line of my argument is this: digital platforms offer real benefits, and students should use them. But they should enter these platforms with clarity about what they are signing up for — a permanent, searchable, public record that will be used to evaluate them for years. That is not a reason to avoid platforms. It is a reason to approach them thoughtfully.</w:t>
      </w:r>
    </w:p>
    <w:p w14:paraId="2E7A3F44" w14:textId="77777777" w:rsidR="004E34B7" w:rsidRDefault="00691583">
      <w:r>
        <w:br w:type="page"/>
      </w:r>
    </w:p>
    <w:p w14:paraId="22D9DC50" w14:textId="77777777" w:rsidR="004E34B7" w:rsidRDefault="00691583">
      <w:pPr>
        <w:pStyle w:val="Heading1"/>
        <w:pBdr>
          <w:bottom w:val="single" w:sz="8" w:space="4" w:color="2E74B5"/>
        </w:pBdr>
      </w:pPr>
      <w:r>
        <w:lastRenderedPageBreak/>
        <w:t>Section C: Collaboration vs. Misuse</w:t>
      </w:r>
    </w:p>
    <w:p w14:paraId="1AE59CEA" w14:textId="77777777" w:rsidR="004E34B7" w:rsidRDefault="00691583">
      <w:pPr>
        <w:pStyle w:val="Heading2"/>
      </w:pPr>
      <w:r>
        <w:t>C.1  What the Group Assignment Actually Revealed</w:t>
      </w:r>
    </w:p>
    <w:p w14:paraId="75C18B28" w14:textId="77777777" w:rsidR="004E34B7" w:rsidRDefault="00691583">
      <w:pPr>
        <w:spacing w:before="80" w:after="140" w:line="432" w:lineRule="auto"/>
        <w:jc w:val="both"/>
      </w:pPr>
      <w:r>
        <w:rPr>
          <w:color w:val="1A1A1A"/>
        </w:rPr>
        <w:t>The group assignment episode in Arjun’s case is one I found immediately recognisable. The tools worked perfectly. The document was shared, edited, and submitted on time. Everyone’s name appeared on the first slide. The group received a high mark. And yet, when asked to explain specific sections individually, most members could not.</w:t>
      </w:r>
    </w:p>
    <w:p w14:paraId="1D0468AE" w14:textId="77777777" w:rsidR="004E34B7" w:rsidRDefault="00691583">
      <w:pPr>
        <w:spacing w:before="80" w:after="140" w:line="432" w:lineRule="auto"/>
        <w:jc w:val="both"/>
      </w:pPr>
      <w:r>
        <w:rPr>
          <w:color w:val="1A1A1A"/>
        </w:rPr>
        <w:t xml:space="preserve">This is not an unusual outcome. It is, in fact, a </w:t>
      </w:r>
      <w:proofErr w:type="gramStart"/>
      <w:r>
        <w:rPr>
          <w:color w:val="1A1A1A"/>
        </w:rPr>
        <w:t>fairly predictable</w:t>
      </w:r>
      <w:proofErr w:type="gramEnd"/>
      <w:r>
        <w:rPr>
          <w:color w:val="1A1A1A"/>
        </w:rPr>
        <w:t xml:space="preserve"> result of how collaborative digital tools are currently being used in academic settings. The tools are designed to facilitate production. They are not designed to guarantee understanding. And when the goal is to produce a high-quality submission rather than to deeply understand the content, students will optimise for production — which is exactly what they did.</w:t>
      </w:r>
    </w:p>
    <w:p w14:paraId="4D30AB75" w14:textId="77777777" w:rsidR="004E34B7" w:rsidRDefault="004E34B7">
      <w:pPr>
        <w:spacing w:before="80" w:after="80"/>
      </w:pPr>
    </w:p>
    <w:p w14:paraId="5F2E95F2" w14:textId="77777777" w:rsidR="004E34B7" w:rsidRDefault="00691583">
      <w:pPr>
        <w:pStyle w:val="Heading2"/>
      </w:pPr>
      <w:r>
        <w:t>C.2  Are These Tools Helping or Just Enabling?</w:t>
      </w:r>
    </w:p>
    <w:p w14:paraId="193B5B14" w14:textId="77777777" w:rsidR="004E34B7" w:rsidRDefault="00691583">
      <w:pPr>
        <w:spacing w:before="80" w:after="140" w:line="432" w:lineRule="auto"/>
        <w:jc w:val="both"/>
      </w:pPr>
      <w:r>
        <w:rPr>
          <w:color w:val="1A1A1A"/>
        </w:rPr>
        <w:t>I want to be honest about both sides of this question before reaching a conclusion.</w:t>
      </w:r>
    </w:p>
    <w:p w14:paraId="1521D2E7" w14:textId="77777777" w:rsidR="004E34B7" w:rsidRDefault="00691583">
      <w:pPr>
        <w:spacing w:before="80" w:after="140" w:line="432" w:lineRule="auto"/>
        <w:jc w:val="both"/>
      </w:pPr>
      <w:r>
        <w:rPr>
          <w:color w:val="1A1A1A"/>
        </w:rPr>
        <w:t>The case for digital collaboration tools is genuinely strong. Google Docs eliminates version conflicts. Google Slides allows multiple people to contribute simultaneously without coordination overhead. Shared platforms make it possible for students across different timetables and locations to work together effectively. These are real advantages that improve the practical experience of group work.</w:t>
      </w:r>
    </w:p>
    <w:p w14:paraId="4DA4AA14" w14:textId="77777777" w:rsidR="004E34B7" w:rsidRDefault="00691583">
      <w:pPr>
        <w:spacing w:before="80" w:after="140" w:line="432" w:lineRule="auto"/>
        <w:jc w:val="both"/>
      </w:pPr>
      <w:r>
        <w:rPr>
          <w:color w:val="1A1A1A"/>
        </w:rPr>
        <w:t>Beyond logistics, there is a learning argument to be made as well. When students see each other’s writing and editing in real time, they can learn from different approaches. When comments are left on a shared document, they function as a form of peer feedback that would be impossible in a traditional paper-based setting. The tools, used well, can genuinely enhance learning.</w:t>
      </w:r>
    </w:p>
    <w:p w14:paraId="411DAA04" w14:textId="77777777" w:rsidR="004E34B7" w:rsidRDefault="00691583">
      <w:pPr>
        <w:spacing w:before="80" w:after="140" w:line="432" w:lineRule="auto"/>
        <w:jc w:val="both"/>
      </w:pPr>
      <w:r>
        <w:rPr>
          <w:color w:val="1A1A1A"/>
        </w:rPr>
        <w:t xml:space="preserve">However, “used well” is doing a lot of work in that sentence. The problem is that the same features that enable good collaboration also enable free-riding with almost no friction. In a physical group meeting, it is immediately obvious when someone is not contributing. In a </w:t>
      </w:r>
      <w:r>
        <w:rPr>
          <w:color w:val="1A1A1A"/>
        </w:rPr>
        <w:lastRenderedPageBreak/>
        <w:t>shared Google Doc, a student can add three words of formatting change and appear as an active contributor in the edit history. The visibility of effort collapses.</w:t>
      </w:r>
    </w:p>
    <w:p w14:paraId="2A1032BF" w14:textId="77777777" w:rsidR="004E34B7" w:rsidRDefault="004E34B7">
      <w:pPr>
        <w:spacing w:before="80" w:after="80"/>
      </w:pPr>
    </w:p>
    <w:p w14:paraId="4A779451" w14:textId="77777777" w:rsidR="004E34B7" w:rsidRDefault="00691583">
      <w:pPr>
        <w:pStyle w:val="Heading2"/>
      </w:pPr>
      <w:r>
        <w:t>C.3  Where Is the Line Between Collaboration and Dishonesty?</w:t>
      </w:r>
    </w:p>
    <w:p w14:paraId="6881B37A" w14:textId="77777777" w:rsidR="004E34B7" w:rsidRDefault="00691583">
      <w:pPr>
        <w:spacing w:before="80" w:after="140" w:line="432" w:lineRule="auto"/>
        <w:jc w:val="both"/>
      </w:pPr>
      <w:r>
        <w:rPr>
          <w:color w:val="1A1A1A"/>
        </w:rPr>
        <w:t>This is genuinely difficult to answer, and I think it is important to acknowledge that difficulty rather than pretend it does not exist.</w:t>
      </w:r>
    </w:p>
    <w:p w14:paraId="52CF372C" w14:textId="77777777" w:rsidR="004E34B7" w:rsidRDefault="00691583">
      <w:pPr>
        <w:spacing w:before="80" w:after="140" w:line="432" w:lineRule="auto"/>
        <w:jc w:val="both"/>
      </w:pPr>
      <w:r>
        <w:rPr>
          <w:color w:val="1A1A1A"/>
        </w:rPr>
        <w:t>At one end of the spectrum, collaboration is clearly beneficial: students dividing research, drafting different sections, and reviewing each other’s work before combining it. At the other end, one student writing the entire submission and others simply putting their names on it is clearly dishonest — even if the platform makes it difficult to detect.</w:t>
      </w:r>
    </w:p>
    <w:p w14:paraId="72846361" w14:textId="77777777" w:rsidR="004E34B7" w:rsidRDefault="00691583">
      <w:pPr>
        <w:spacing w:before="80" w:after="140" w:line="432" w:lineRule="auto"/>
        <w:jc w:val="both"/>
      </w:pPr>
      <w:r>
        <w:rPr>
          <w:color w:val="1A1A1A"/>
        </w:rPr>
        <w:t>The grey area in the middle is large and uncomfortable. What about a student who contributes significantly less than others, but still contributes something? What about a student who copies a paragraph from an online source and pastes it with minor changes? These are not clear-cut cases of academic dishonesty in most institutional definitions, but they are also not genuine collaboration in any meaningful sense.</w:t>
      </w:r>
    </w:p>
    <w:p w14:paraId="5BE57C9E" w14:textId="77777777" w:rsidR="004E34B7" w:rsidRDefault="00691583">
      <w:pPr>
        <w:spacing w:before="80" w:after="140" w:line="432" w:lineRule="auto"/>
        <w:jc w:val="both"/>
      </w:pPr>
      <w:r>
        <w:rPr>
          <w:color w:val="1A1A1A"/>
        </w:rPr>
        <w:t>My view is that the line is not inherently ambiguous — it simply requires a different kind of evaluation. If the purpose of the assignment is to develop understanding, then the evaluation should test understanding directly, not just the quality of the final product. Individual follow-up questions, as the faculty in Arjun’s case attempted, are one way to do this. Individual reflections submitted alongside group work are another.</w:t>
      </w:r>
    </w:p>
    <w:p w14:paraId="0DEAA752" w14:textId="77777777" w:rsidR="004E34B7" w:rsidRDefault="004E34B7">
      <w:pPr>
        <w:spacing w:before="80" w:after="80"/>
      </w:pPr>
    </w:p>
    <w:p w14:paraId="7E21BA2B" w14:textId="77777777" w:rsidR="004E34B7" w:rsidRDefault="00691583">
      <w:pPr>
        <w:pStyle w:val="Heading2"/>
      </w:pPr>
      <w:r>
        <w:t>C.4  Does Reduced Visibility Make Ethics Harder to Enforce?</w:t>
      </w:r>
    </w:p>
    <w:p w14:paraId="6EF00B77" w14:textId="77777777" w:rsidR="004E34B7" w:rsidRDefault="00691583">
      <w:pPr>
        <w:spacing w:before="80" w:after="140" w:line="432" w:lineRule="auto"/>
        <w:jc w:val="both"/>
      </w:pPr>
      <w:r>
        <w:rPr>
          <w:color w:val="1A1A1A"/>
        </w:rPr>
        <w:t>Yes, unquestionably. And I think this is one of the most important systemic problems in digital education that is not discussed enough.</w:t>
      </w:r>
    </w:p>
    <w:p w14:paraId="09F4BA36" w14:textId="77777777" w:rsidR="004E34B7" w:rsidRDefault="00691583">
      <w:pPr>
        <w:spacing w:before="80" w:after="140" w:line="432" w:lineRule="auto"/>
        <w:jc w:val="both"/>
      </w:pPr>
      <w:r>
        <w:rPr>
          <w:color w:val="1A1A1A"/>
        </w:rPr>
        <w:t xml:space="preserve">When contribution is invisible, the social accountability that would naturally exist in a face-to-face setting disappears. In a physical group, peers see who shows up, who does the work, and </w:t>
      </w:r>
      <w:r>
        <w:rPr>
          <w:color w:val="1A1A1A"/>
        </w:rPr>
        <w:lastRenderedPageBreak/>
        <w:t>who does not. This creates informal but effective accountability. In a digital environment, effort is hidden behind usernames and edit timestamps that can be gamed easily.</w:t>
      </w:r>
    </w:p>
    <w:p w14:paraId="0C986557" w14:textId="77777777" w:rsidR="004E34B7" w:rsidRDefault="00691583">
      <w:pPr>
        <w:spacing w:before="80" w:after="140" w:line="432" w:lineRule="auto"/>
        <w:jc w:val="both"/>
      </w:pPr>
      <w:r>
        <w:rPr>
          <w:color w:val="1A1A1A"/>
        </w:rPr>
        <w:t>This does not mean digital collaboration should be abandoned or restricted. It means that educators need to design assessments that account for this limitation. The tools are not going away. The question is how to use them in ways that preserve the learning purpose of collaborative work, not just its production efficiency.</w:t>
      </w:r>
    </w:p>
    <w:p w14:paraId="4D74652A" w14:textId="77777777" w:rsidR="004E34B7" w:rsidRDefault="00691583">
      <w:pPr>
        <w:spacing w:before="80" w:after="140" w:line="432" w:lineRule="auto"/>
        <w:jc w:val="both"/>
      </w:pPr>
      <w:r>
        <w:rPr>
          <w:color w:val="1A1A1A"/>
        </w:rPr>
        <w:t>My conclusion on this section: digital collaboration tools significantly improve the efficiency and accessibility of group work, and they should continue to be used. However, they should be used alongside assessment structures that verify individual understanding, not in place of them. Efficiency without accountability is not education — it is task completion.</w:t>
      </w:r>
    </w:p>
    <w:p w14:paraId="0559DCB2" w14:textId="77777777" w:rsidR="004E34B7" w:rsidRDefault="00691583">
      <w:r>
        <w:br w:type="page"/>
      </w:r>
    </w:p>
    <w:p w14:paraId="6374435F" w14:textId="77777777" w:rsidR="004E34B7" w:rsidRDefault="00691583">
      <w:pPr>
        <w:pStyle w:val="Heading1"/>
        <w:pBdr>
          <w:bottom w:val="single" w:sz="8" w:space="4" w:color="2E74B5"/>
        </w:pBdr>
      </w:pPr>
      <w:r>
        <w:lastRenderedPageBreak/>
        <w:t>Section D: Cyber Awareness and Responsibility</w:t>
      </w:r>
    </w:p>
    <w:p w14:paraId="7E4981E1" w14:textId="77777777" w:rsidR="004E34B7" w:rsidRDefault="00691583">
      <w:pPr>
        <w:pStyle w:val="Heading2"/>
      </w:pPr>
      <w:r>
        <w:t>D.1  Why Awareness Is Not Enough</w:t>
      </w:r>
    </w:p>
    <w:p w14:paraId="650883EE" w14:textId="77777777" w:rsidR="004E34B7" w:rsidRDefault="00691583">
      <w:pPr>
        <w:spacing w:before="80" w:after="140" w:line="432" w:lineRule="auto"/>
        <w:jc w:val="both"/>
      </w:pPr>
      <w:r>
        <w:rPr>
          <w:color w:val="1A1A1A"/>
        </w:rPr>
        <w:t>The most striking detail in Arjun’s phishing incident is not that he was deceived. It is that he hesitated. He remembered learning about phishing. He had some awareness of what was happening. And then he continued anyway.</w:t>
      </w:r>
    </w:p>
    <w:p w14:paraId="12BA3095" w14:textId="77777777" w:rsidR="004E34B7" w:rsidRDefault="00691583">
      <w:pPr>
        <w:spacing w:before="80" w:after="140" w:line="432" w:lineRule="auto"/>
        <w:jc w:val="both"/>
      </w:pPr>
      <w:r>
        <w:rPr>
          <w:color w:val="1A1A1A"/>
        </w:rPr>
        <w:t xml:space="preserve">This single detail explains why </w:t>
      </w:r>
      <w:proofErr w:type="spellStart"/>
      <w:r>
        <w:rPr>
          <w:color w:val="1A1A1A"/>
        </w:rPr>
        <w:t>cyber crime</w:t>
      </w:r>
      <w:proofErr w:type="spellEnd"/>
      <w:r>
        <w:rPr>
          <w:color w:val="1A1A1A"/>
        </w:rPr>
        <w:t xml:space="preserve"> continues to succeed despite decades of awareness campaigns, warnings, and educational programmes. The problem has never been a lack of information. The problem is the gap between knowing something and applying that knowledge under pressure.</w:t>
      </w:r>
    </w:p>
    <w:p w14:paraId="0BE685EB" w14:textId="77777777" w:rsidR="004E34B7" w:rsidRDefault="00691583">
      <w:pPr>
        <w:spacing w:before="80" w:after="140" w:line="432" w:lineRule="auto"/>
        <w:jc w:val="both"/>
      </w:pPr>
      <w:r>
        <w:rPr>
          <w:color w:val="1A1A1A"/>
        </w:rPr>
        <w:t>This is not a weakness unique to Arjun. It is a documented psychological phenomenon. Research in behavioural security consistently shows that people make worse decisions under urgency, even when they possess the knowledge needed to make better ones. The phishing email that targeted Arjun was specifically designed to exploit this. The “12-hour deadline”, the “limited slots”, the professional appearance — none of these were accidental. They were precise tools designed to bypass rational evaluation.</w:t>
      </w:r>
    </w:p>
    <w:p w14:paraId="25AC4E48" w14:textId="77777777" w:rsidR="004E34B7" w:rsidRDefault="004E34B7">
      <w:pPr>
        <w:spacing w:before="80" w:after="80"/>
      </w:pPr>
    </w:p>
    <w:p w14:paraId="5E43E5B0" w14:textId="77777777" w:rsidR="004E34B7" w:rsidRDefault="00691583">
      <w:pPr>
        <w:pStyle w:val="Heading2"/>
      </w:pPr>
      <w:r>
        <w:t>D.2  Who Is Responsible?</w:t>
      </w:r>
    </w:p>
    <w:p w14:paraId="6DCF805A" w14:textId="77777777" w:rsidR="004E34B7" w:rsidRDefault="00691583">
      <w:pPr>
        <w:spacing w:before="80" w:after="140" w:line="432" w:lineRule="auto"/>
        <w:jc w:val="both"/>
      </w:pPr>
      <w:r>
        <w:rPr>
          <w:color w:val="1A1A1A"/>
        </w:rPr>
        <w:t>This is where I want to push back against the simplest answer, which is to say the user is always responsible.</w:t>
      </w:r>
    </w:p>
    <w:p w14:paraId="4C7C00B8" w14:textId="77777777" w:rsidR="004E34B7" w:rsidRDefault="00691583">
      <w:pPr>
        <w:spacing w:before="80" w:after="140" w:line="432" w:lineRule="auto"/>
        <w:jc w:val="both"/>
      </w:pPr>
      <w:r>
        <w:rPr>
          <w:color w:val="1A1A1A"/>
        </w:rPr>
        <w:t>Individual responsibility matters. Arjun should have verified the sender’s email address. He should have checked the company’s official website before clicking the link. He should have been suspicious of any form asking for login credentials. These are reasonable expectations.</w:t>
      </w:r>
    </w:p>
    <w:p w14:paraId="4C346EC8" w14:textId="77777777" w:rsidR="004E34B7" w:rsidRDefault="00691583">
      <w:pPr>
        <w:spacing w:before="80" w:after="140" w:line="432" w:lineRule="auto"/>
        <w:jc w:val="both"/>
      </w:pPr>
      <w:r>
        <w:rPr>
          <w:color w:val="1A1A1A"/>
        </w:rPr>
        <w:t xml:space="preserve">But individual responsibility exists within a system, and that system has significant design flaws that make </w:t>
      </w:r>
      <w:proofErr w:type="spellStart"/>
      <w:r>
        <w:rPr>
          <w:color w:val="1A1A1A"/>
        </w:rPr>
        <w:t>cyber crime</w:t>
      </w:r>
      <w:proofErr w:type="spellEnd"/>
      <w:r>
        <w:rPr>
          <w:color w:val="1A1A1A"/>
        </w:rPr>
        <w:t xml:space="preserve"> easier than it should be. Email platforms allow senders to use addresses that appear nearly identical to legitimate ones. Social media platforms create environments where urgency and FOMO (fear of missing out) are the default emotional states. </w:t>
      </w:r>
      <w:r>
        <w:rPr>
          <w:color w:val="1A1A1A"/>
        </w:rPr>
        <w:lastRenderedPageBreak/>
        <w:t>Digital job markets are designed to move fast, which creates exactly the conditions that phishing attacks exploit.</w:t>
      </w:r>
    </w:p>
    <w:p w14:paraId="128AC3A1" w14:textId="77777777" w:rsidR="004E34B7" w:rsidRDefault="00691583">
      <w:pPr>
        <w:spacing w:before="80" w:after="140" w:line="432" w:lineRule="auto"/>
        <w:jc w:val="both"/>
      </w:pPr>
      <w:r>
        <w:rPr>
          <w:color w:val="1A1A1A"/>
        </w:rPr>
        <w:t>The question of whether a student who falls for a phishing attack is negligent, uneducated, or a victim of systemic failure is not an either/or question. In Arjun’s case, all three factors were present. He acted carelessly. His education had not adequately prepared him to apply his knowledge under real conditions. And the systems around him — the email platform, the job-search culture, the urgency-driven digital environment — made the attack easier to execute and easier to fall for.</w:t>
      </w:r>
    </w:p>
    <w:p w14:paraId="707FAA36" w14:textId="77777777" w:rsidR="004E34B7" w:rsidRDefault="004E34B7">
      <w:pPr>
        <w:spacing w:before="80" w:after="80"/>
      </w:pPr>
    </w:p>
    <w:p w14:paraId="6CB1D8B1" w14:textId="77777777" w:rsidR="004E34B7" w:rsidRDefault="00691583">
      <w:pPr>
        <w:pStyle w:val="Heading2"/>
      </w:pPr>
      <w:r>
        <w:t>D.3  Are Current Preventive Measures Working?</w:t>
      </w:r>
    </w:p>
    <w:p w14:paraId="7DD300E6" w14:textId="77777777" w:rsidR="004E34B7" w:rsidRDefault="00691583">
      <w:pPr>
        <w:spacing w:before="80" w:after="140" w:line="432" w:lineRule="auto"/>
        <w:jc w:val="both"/>
      </w:pPr>
      <w:r>
        <w:rPr>
          <w:color w:val="1A1A1A"/>
        </w:rPr>
        <w:t>Not adequately. And I say this not to be critical for its own sake, but because I think the current approach to cyber safety education has a fundamental design problem.</w:t>
      </w:r>
    </w:p>
    <w:p w14:paraId="22D66879" w14:textId="77777777" w:rsidR="004E34B7" w:rsidRDefault="00691583">
      <w:pPr>
        <w:spacing w:before="80" w:after="140" w:line="432" w:lineRule="auto"/>
        <w:jc w:val="both"/>
      </w:pPr>
      <w:r>
        <w:rPr>
          <w:color w:val="1A1A1A"/>
        </w:rPr>
        <w:t>Most cyber safety programmes are built around information transfer: here are the warning signs of phishing, here is what two-factor authentication is, here is why you should not reuse passwords. This information is accurate and useful. But it is delivered in a context — a classroom, a workshop, an online module — that is entirely different from the context in which students actually face threats.</w:t>
      </w:r>
    </w:p>
    <w:p w14:paraId="1672B99C" w14:textId="77777777" w:rsidR="004E34B7" w:rsidRDefault="00691583">
      <w:pPr>
        <w:spacing w:before="80" w:after="140" w:line="432" w:lineRule="auto"/>
        <w:jc w:val="both"/>
      </w:pPr>
      <w:r>
        <w:rPr>
          <w:color w:val="1A1A1A"/>
        </w:rPr>
        <w:t>When Arjun sat in a classroom and learned about phishing, he was calm, unhurried, and not emotionally invested in an outcome. When he received the phishing email, he was excited about a potential internship opportunity, was under time pressure, and was making a rapid decision. The gap between those two contexts is enormous, and standard awareness training does almost nothing to bridge it.</w:t>
      </w:r>
    </w:p>
    <w:p w14:paraId="4A474C5F" w14:textId="77777777" w:rsidR="004E34B7" w:rsidRDefault="00691583">
      <w:pPr>
        <w:spacing w:before="80" w:after="140" w:line="432" w:lineRule="auto"/>
        <w:jc w:val="both"/>
      </w:pPr>
      <w:r>
        <w:rPr>
          <w:color w:val="1A1A1A"/>
        </w:rPr>
        <w:t>What would actually help is simulation-based learning — putting students in realistic scenarios where they have to make decisions under time pressure and then reflect on what happened. This is how pilots learn to handle emergencies. It is how medical students learn to make decisions under stress. There is no obvious reason why cyber safety education should be different.</w:t>
      </w:r>
    </w:p>
    <w:p w14:paraId="2C49A2EB" w14:textId="77777777" w:rsidR="004E34B7" w:rsidRDefault="00691583">
      <w:pPr>
        <w:spacing w:before="80" w:after="140" w:line="432" w:lineRule="auto"/>
        <w:jc w:val="both"/>
      </w:pPr>
      <w:r>
        <w:rPr>
          <w:color w:val="1A1A1A"/>
        </w:rPr>
        <w:lastRenderedPageBreak/>
        <w:t>The key insight is this: cyber safety is a behaviour problem, not an information problem. Solving it requires changing habits, not just updating knowledge. Until education catches up with that reality, phishing attacks will continue to work — not because students are unaware, but because their awareness has never been tested under the conditions that matter.</w:t>
      </w:r>
    </w:p>
    <w:p w14:paraId="1FFBD303" w14:textId="77777777" w:rsidR="004E34B7" w:rsidRDefault="00691583">
      <w:r>
        <w:br w:type="page"/>
      </w:r>
    </w:p>
    <w:p w14:paraId="1ADAD210" w14:textId="77777777" w:rsidR="004E34B7" w:rsidRDefault="00691583">
      <w:pPr>
        <w:pStyle w:val="Heading1"/>
        <w:pBdr>
          <w:bottom w:val="single" w:sz="8" w:space="4" w:color="2E74B5"/>
        </w:pBdr>
      </w:pPr>
      <w:r>
        <w:lastRenderedPageBreak/>
        <w:t>Section E: Communication and Digital Etiquette</w:t>
      </w:r>
    </w:p>
    <w:p w14:paraId="57B97D96" w14:textId="77777777" w:rsidR="004E34B7" w:rsidRDefault="00691583">
      <w:pPr>
        <w:pStyle w:val="Heading2"/>
      </w:pPr>
      <w:r>
        <w:t>E.1  Why Students Write Informal Emails to Formal Recipients</w:t>
      </w:r>
    </w:p>
    <w:p w14:paraId="0213D22A" w14:textId="77777777" w:rsidR="004E34B7" w:rsidRDefault="00691583">
      <w:pPr>
        <w:spacing w:before="80" w:after="140" w:line="432" w:lineRule="auto"/>
        <w:jc w:val="both"/>
      </w:pPr>
      <w:r>
        <w:rPr>
          <w:color w:val="1A1A1A"/>
        </w:rPr>
        <w:t xml:space="preserve">Arjun’s email to his faculty member — “Hi sir, I need recommendations urgently. Send asap.” — is painful to read. Not because it is unusual, but because it is so familiar. Most first-year students, myself included at the start of college, communicate in exactly this way. The style comes from years of WhatsApp, Instagram DMs, and quick text messages where brevity is a virtue and formality </w:t>
      </w:r>
      <w:proofErr w:type="gramStart"/>
      <w:r>
        <w:rPr>
          <w:color w:val="1A1A1A"/>
        </w:rPr>
        <w:t>is</w:t>
      </w:r>
      <w:proofErr w:type="gramEnd"/>
      <w:r>
        <w:rPr>
          <w:color w:val="1A1A1A"/>
        </w:rPr>
        <w:t xml:space="preserve"> unnecessary.</w:t>
      </w:r>
    </w:p>
    <w:p w14:paraId="4D725399" w14:textId="77777777" w:rsidR="004E34B7" w:rsidRDefault="00691583">
      <w:pPr>
        <w:spacing w:before="80" w:after="140" w:line="432" w:lineRule="auto"/>
        <w:jc w:val="both"/>
      </w:pPr>
      <w:r>
        <w:rPr>
          <w:color w:val="1A1A1A"/>
        </w:rPr>
        <w:t>The problem is not that students do not know how to write professional emails. Many have been taught the format at some point. The problem is that habit overrides knowledge when speed feels more important than quality. In the moment of writing, Arjun was not thinking about tone or structure. He was thinking about the deadline and the recommendation he needed. The email reflected that urgency, not his actual understanding of professional communication.</w:t>
      </w:r>
    </w:p>
    <w:p w14:paraId="35FDF338" w14:textId="77777777" w:rsidR="004E34B7" w:rsidRDefault="004E34B7">
      <w:pPr>
        <w:spacing w:before="80" w:after="80"/>
      </w:pPr>
    </w:p>
    <w:p w14:paraId="6A6885A1" w14:textId="77777777" w:rsidR="004E34B7" w:rsidRDefault="00691583">
      <w:pPr>
        <w:pStyle w:val="Heading2"/>
      </w:pPr>
      <w:r>
        <w:t>E.2  Is Informal Communication Becoming the Norm?</w:t>
      </w:r>
    </w:p>
    <w:p w14:paraId="46DB6CF8" w14:textId="77777777" w:rsidR="004E34B7" w:rsidRDefault="00691583">
      <w:pPr>
        <w:spacing w:before="80" w:after="140" w:line="432" w:lineRule="auto"/>
        <w:jc w:val="both"/>
      </w:pPr>
      <w:r>
        <w:rPr>
          <w:color w:val="1A1A1A"/>
        </w:rPr>
        <w:t>There is a genuine argument that professional communication norms are evolving. Many modern workplaces, especially in the technology sector, have relaxed email etiquette significantly. Slack messages between colleagues routinely use casual language. Some managers actively discourage formal opening lines as a waste of time. In this context, it is reasonable to ask whether the formal email format is a genuine professional standard or simply an outdated convention.</w:t>
      </w:r>
    </w:p>
    <w:p w14:paraId="6AF04D1E" w14:textId="77777777" w:rsidR="004E34B7" w:rsidRDefault="00691583">
      <w:pPr>
        <w:spacing w:before="80" w:after="140" w:line="432" w:lineRule="auto"/>
        <w:jc w:val="both"/>
      </w:pPr>
      <w:r>
        <w:rPr>
          <w:color w:val="1A1A1A"/>
        </w:rPr>
        <w:t>My view is that this evolution is real but context-dependent. Informal communication between colleagues who already have an established relationship is different from communication with someone in a position of authority whom you are approaching for the first time. The former can reasonably be casual. The latter cannot.</w:t>
      </w:r>
    </w:p>
    <w:p w14:paraId="1FCB6EBD" w14:textId="77777777" w:rsidR="004E34B7" w:rsidRDefault="00691583">
      <w:pPr>
        <w:spacing w:before="80" w:after="140" w:line="432" w:lineRule="auto"/>
        <w:jc w:val="both"/>
      </w:pPr>
      <w:r>
        <w:rPr>
          <w:color w:val="1A1A1A"/>
        </w:rPr>
        <w:t xml:space="preserve">The key issue is register — the ability to adjust communication style to the context and the relationship. Arjun did not fail because he used informal language. He failed because he applied informal language in a context that required formal language. That failure of register is a </w:t>
      </w:r>
      <w:r>
        <w:rPr>
          <w:color w:val="1A1A1A"/>
        </w:rPr>
        <w:lastRenderedPageBreak/>
        <w:t>specific and teachable skill, but it requires students to be consciously aware of context before they write, rather than simply defaulting to their most familiar style.</w:t>
      </w:r>
    </w:p>
    <w:p w14:paraId="5A63FF6E" w14:textId="77777777" w:rsidR="004E34B7" w:rsidRDefault="004E34B7">
      <w:pPr>
        <w:spacing w:before="80" w:after="80"/>
      </w:pPr>
    </w:p>
    <w:p w14:paraId="494B16B2" w14:textId="77777777" w:rsidR="004E34B7" w:rsidRDefault="00691583">
      <w:pPr>
        <w:pStyle w:val="Heading2"/>
      </w:pPr>
      <w:r>
        <w:t>E.3  The Real Cost: First Impressions in Digital Spaces</w:t>
      </w:r>
    </w:p>
    <w:p w14:paraId="60B28E8B" w14:textId="77777777" w:rsidR="004E34B7" w:rsidRDefault="00691583">
      <w:pPr>
        <w:spacing w:before="80" w:after="140" w:line="432" w:lineRule="auto"/>
        <w:jc w:val="both"/>
      </w:pPr>
      <w:r>
        <w:rPr>
          <w:color w:val="1A1A1A"/>
        </w:rPr>
        <w:t>An email to a faculty member or an internship coordinator is often the first point of contact between a student and that person. In the absence of a face, a voice, or any prior interaction, the email becomes the complete basis for the initial impression. A poorly written email does not just fail to achieve its goal — it actively creates a negative impression that is difficult to reverse.</w:t>
      </w:r>
    </w:p>
    <w:p w14:paraId="3D134935" w14:textId="77777777" w:rsidR="004E34B7" w:rsidRDefault="00691583">
      <w:pPr>
        <w:spacing w:before="80" w:after="140" w:line="432" w:lineRule="auto"/>
        <w:jc w:val="both"/>
      </w:pPr>
      <w:r>
        <w:rPr>
          <w:color w:val="1A1A1A"/>
        </w:rPr>
        <w:t>In Arjun’s case, the recommendation was eventually provided, but the relationship was colder and more transactional than it might have been. That is a real cost. Professional relationships are built on the accumulation of small impressions over time. Starting with a poor one is not fatal, but it is a genuine setback.</w:t>
      </w:r>
    </w:p>
    <w:p w14:paraId="27EC4082" w14:textId="77777777" w:rsidR="004E34B7" w:rsidRDefault="00691583">
      <w:pPr>
        <w:spacing w:before="80" w:after="140" w:line="432" w:lineRule="auto"/>
        <w:jc w:val="both"/>
      </w:pPr>
      <w:r>
        <w:rPr>
          <w:color w:val="1A1A1A"/>
        </w:rPr>
        <w:t>I think the deeper point here is that digital communication is not a lower-stakes version of face-to-face communication. In some ways, it is higher-stakes, because it creates a permanent, searchable, quotable record. What we say in an email can be forwarded, saved, and referenced years later. The casualness with which most students approach digital communication is genuinely disproportionate to the weight those communications carry.</w:t>
      </w:r>
    </w:p>
    <w:p w14:paraId="2D73954B" w14:textId="77777777" w:rsidR="004E34B7" w:rsidRDefault="00691583">
      <w:r>
        <w:br w:type="page"/>
      </w:r>
    </w:p>
    <w:p w14:paraId="46331E76" w14:textId="77777777" w:rsidR="004E34B7" w:rsidRDefault="00691583">
      <w:pPr>
        <w:pStyle w:val="Heading1"/>
        <w:pBdr>
          <w:bottom w:val="single" w:sz="8" w:space="4" w:color="2E74B5"/>
        </w:pBdr>
      </w:pPr>
      <w:r>
        <w:lastRenderedPageBreak/>
        <w:t>Section F: Personal Reflection</w:t>
      </w:r>
    </w:p>
    <w:p w14:paraId="322461E5" w14:textId="77777777" w:rsidR="004E34B7" w:rsidRDefault="00691583">
      <w:pPr>
        <w:spacing w:before="80" w:after="140" w:line="432" w:lineRule="auto"/>
        <w:jc w:val="both"/>
      </w:pPr>
      <w:r>
        <w:rPr>
          <w:color w:val="1A1A1A"/>
        </w:rPr>
        <w:t>Before engaging with this case study, I would have described digital literacy as knowing how to use technology effectively. That definition now seems embarrassingly thin to me. What this case study has made clear is that using technology and understanding its implications are two completely different things — and the gap between them is where most problems actually live.</w:t>
      </w:r>
    </w:p>
    <w:p w14:paraId="38CC5D8B" w14:textId="77777777" w:rsidR="004E34B7" w:rsidRDefault="00691583">
      <w:pPr>
        <w:spacing w:before="80" w:after="140" w:line="432" w:lineRule="auto"/>
        <w:jc w:val="both"/>
      </w:pPr>
      <w:r>
        <w:rPr>
          <w:color w:val="1A1A1A"/>
        </w:rPr>
        <w:t>Reading about Arjun was uncomfortable in places, because I recognised myself in his decisions more than I expected to. When I created my LinkedIn profile earlier this year, I listed skills that I had only briefly encountered. I did not think of this as misrepresentation at the time — I thought of it as putting my best foot forward. After reading Section B and thinking about digital permanence and the ethics of self-presentation, I am less comfortable with that framing.</w:t>
      </w:r>
    </w:p>
    <w:p w14:paraId="132D5EB0" w14:textId="77777777" w:rsidR="004E34B7" w:rsidRDefault="00691583">
      <w:pPr>
        <w:spacing w:before="80" w:after="140" w:line="432" w:lineRule="auto"/>
        <w:jc w:val="both"/>
      </w:pPr>
      <w:r>
        <w:rPr>
          <w:color w:val="1A1A1A"/>
        </w:rPr>
        <w:t>The phishing section was the one that genuinely surprised me. Not because I was unaware of phishing — I have attended enough sessions to know the warning signs — but because of how clearly the case illustrates that awareness does not guarantee safe behaviour. I genuinely believe that if I received a convincing internship email at the right moment of stress or excitement, I might make the same mistake Arjun made. That is a humbling realisation, and it has made me more careful about how I respond to unsolicited opportunities online.</w:t>
      </w:r>
    </w:p>
    <w:p w14:paraId="4E963A76" w14:textId="77777777" w:rsidR="004E34B7" w:rsidRDefault="00691583">
      <w:pPr>
        <w:spacing w:before="80" w:after="140" w:line="432" w:lineRule="auto"/>
        <w:jc w:val="both"/>
      </w:pPr>
      <w:r>
        <w:rPr>
          <w:color w:val="1A1A1A"/>
        </w:rPr>
        <w:t>The section on digital collaboration also resonated. Group projects in my own experience have often followed the same pattern described in the case: unequal contribution, polished output, and a follow-up conversation that reveals how unevenly the learning was distributed. I have been on both sides of that equation — sometimes the person doing most of the work, sometimes relying more heavily on others than I should. Seeing it described analytically helped me understand why it happens and what I could do differently.</w:t>
      </w:r>
    </w:p>
    <w:p w14:paraId="744DA75E" w14:textId="77777777" w:rsidR="004E34B7" w:rsidRDefault="00691583">
      <w:pPr>
        <w:spacing w:before="80" w:after="140" w:line="432" w:lineRule="auto"/>
        <w:jc w:val="both"/>
      </w:pPr>
      <w:r>
        <w:rPr>
          <w:color w:val="1A1A1A"/>
        </w:rPr>
        <w:t>If I had to change one aspect of my digital behaviour after engaging with this case study, it would be to slow down before acting in digital spaces — particularly when something creates a sense of urgency. Urgency, as this case makes clear, is the primary mechanism through which both phishing attacks and careless communication mistakes occur. Building the habit of pausing before clicking, before sending, before posting is not a dramatic change. But it is, I think, the most consistently useful one I could make.</w:t>
      </w:r>
    </w:p>
    <w:p w14:paraId="621AAD91" w14:textId="77777777" w:rsidR="004E34B7" w:rsidRDefault="004E34B7">
      <w:pPr>
        <w:spacing w:before="80" w:after="80"/>
      </w:pPr>
    </w:p>
    <w:p w14:paraId="34818D96" w14:textId="77777777" w:rsidR="004E34B7" w:rsidRDefault="00691583">
      <w:r>
        <w:br w:type="page"/>
      </w:r>
    </w:p>
    <w:p w14:paraId="69217B45" w14:textId="77777777" w:rsidR="004E34B7" w:rsidRDefault="00691583">
      <w:pPr>
        <w:pStyle w:val="Heading1"/>
        <w:pBdr>
          <w:bottom w:val="single" w:sz="8" w:space="4" w:color="2E74B5"/>
        </w:pBdr>
      </w:pPr>
      <w:r>
        <w:lastRenderedPageBreak/>
        <w:t>References</w:t>
      </w:r>
    </w:p>
    <w:p w14:paraId="448306B8" w14:textId="77777777" w:rsidR="004E34B7" w:rsidRDefault="00691583">
      <w:pPr>
        <w:spacing w:before="80" w:after="140" w:line="432" w:lineRule="auto"/>
        <w:jc w:val="both"/>
      </w:pPr>
      <w:r>
        <w:rPr>
          <w:i/>
          <w:iCs/>
          <w:color w:val="1A1A1A"/>
        </w:rPr>
        <w:t>The following sources were consulted in the preparation of this case study report:</w:t>
      </w:r>
    </w:p>
    <w:p w14:paraId="71A595F6" w14:textId="77777777" w:rsidR="004E34B7" w:rsidRDefault="004E34B7">
      <w:pPr>
        <w:spacing w:before="80" w:after="80"/>
      </w:pPr>
    </w:p>
    <w:p w14:paraId="7876E564" w14:textId="77777777" w:rsidR="004E34B7" w:rsidRDefault="00691583">
      <w:pPr>
        <w:pStyle w:val="ListParagraph"/>
        <w:numPr>
          <w:ilvl w:val="0"/>
          <w:numId w:val="2"/>
        </w:numPr>
        <w:spacing w:before="60" w:after="60" w:line="360" w:lineRule="auto"/>
      </w:pPr>
      <w:r>
        <w:rPr>
          <w:color w:val="1A1A1A"/>
        </w:rPr>
        <w:t xml:space="preserve">LinkedIn Help </w:t>
      </w:r>
      <w:proofErr w:type="spellStart"/>
      <w:r>
        <w:rPr>
          <w:color w:val="1A1A1A"/>
        </w:rPr>
        <w:t>Center</w:t>
      </w:r>
      <w:proofErr w:type="spellEnd"/>
      <w:r>
        <w:rPr>
          <w:color w:val="1A1A1A"/>
        </w:rPr>
        <w:t xml:space="preserve"> — Best practices for professional profiles: https://www.linkedin.com/help</w:t>
      </w:r>
    </w:p>
    <w:p w14:paraId="044B243E" w14:textId="77777777" w:rsidR="004E34B7" w:rsidRDefault="00691583">
      <w:pPr>
        <w:pStyle w:val="ListParagraph"/>
        <w:numPr>
          <w:ilvl w:val="0"/>
          <w:numId w:val="2"/>
        </w:numPr>
        <w:spacing w:before="60" w:after="60" w:line="360" w:lineRule="auto"/>
      </w:pPr>
      <w:r>
        <w:rPr>
          <w:color w:val="1A1A1A"/>
        </w:rPr>
        <w:t>GitHub Guides — Version control, repositories, and open-source contribution: https://guides.github.com</w:t>
      </w:r>
    </w:p>
    <w:p w14:paraId="51BA1C30" w14:textId="77777777" w:rsidR="004E34B7" w:rsidRDefault="00691583">
      <w:pPr>
        <w:pStyle w:val="ListParagraph"/>
        <w:numPr>
          <w:ilvl w:val="0"/>
          <w:numId w:val="2"/>
        </w:numPr>
        <w:spacing w:before="60" w:after="60" w:line="360" w:lineRule="auto"/>
      </w:pPr>
      <w:r>
        <w:rPr>
          <w:color w:val="1A1A1A"/>
        </w:rPr>
        <w:t xml:space="preserve">Google Workspace Learning </w:t>
      </w:r>
      <w:proofErr w:type="spellStart"/>
      <w:r>
        <w:rPr>
          <w:color w:val="1A1A1A"/>
        </w:rPr>
        <w:t>Center</w:t>
      </w:r>
      <w:proofErr w:type="spellEnd"/>
      <w:r>
        <w:rPr>
          <w:color w:val="1A1A1A"/>
        </w:rPr>
        <w:t xml:space="preserve"> — Collaboration tools and best practices: https://support.google.com/a/users</w:t>
      </w:r>
    </w:p>
    <w:p w14:paraId="6BD84A15" w14:textId="77777777" w:rsidR="004E34B7" w:rsidRDefault="00691583">
      <w:pPr>
        <w:pStyle w:val="ListParagraph"/>
        <w:numPr>
          <w:ilvl w:val="0"/>
          <w:numId w:val="2"/>
        </w:numPr>
        <w:spacing w:before="60" w:after="60" w:line="360" w:lineRule="auto"/>
      </w:pPr>
      <w:r>
        <w:rPr>
          <w:color w:val="1A1A1A"/>
        </w:rPr>
        <w:t>UNESCO — Digital Literacy in Education: https://www.unesco.org/en/digital-education</w:t>
      </w:r>
    </w:p>
    <w:p w14:paraId="639EF001" w14:textId="77777777" w:rsidR="004E34B7" w:rsidRDefault="00691583">
      <w:pPr>
        <w:pStyle w:val="ListParagraph"/>
        <w:numPr>
          <w:ilvl w:val="0"/>
          <w:numId w:val="2"/>
        </w:numPr>
        <w:spacing w:before="60" w:after="60" w:line="360" w:lineRule="auto"/>
      </w:pPr>
      <w:r>
        <w:rPr>
          <w:color w:val="1A1A1A"/>
        </w:rPr>
        <w:t>CERT-In (Indian Computer Emergency Response Team) — Cyber Safety Guidelines: https://www.cert-in.org.in</w:t>
      </w:r>
    </w:p>
    <w:p w14:paraId="636A3140" w14:textId="77777777" w:rsidR="004E34B7" w:rsidRDefault="00691583">
      <w:pPr>
        <w:pStyle w:val="ListParagraph"/>
        <w:numPr>
          <w:ilvl w:val="0"/>
          <w:numId w:val="2"/>
        </w:numPr>
        <w:spacing w:before="60" w:after="60" w:line="360" w:lineRule="auto"/>
      </w:pPr>
      <w:r>
        <w:rPr>
          <w:color w:val="1A1A1A"/>
        </w:rPr>
        <w:t>Stack Overflow — Community guidelines and code of conduct: https://stackoverflow.com/help/behavior</w:t>
      </w:r>
    </w:p>
    <w:p w14:paraId="7BF04AC0" w14:textId="77777777" w:rsidR="004E34B7" w:rsidRDefault="00691583">
      <w:pPr>
        <w:pStyle w:val="ListParagraph"/>
        <w:numPr>
          <w:ilvl w:val="0"/>
          <w:numId w:val="2"/>
        </w:numPr>
        <w:spacing w:before="60" w:after="60" w:line="360" w:lineRule="auto"/>
      </w:pPr>
      <w:r>
        <w:rPr>
          <w:color w:val="1A1A1A"/>
        </w:rPr>
        <w:t>TED-Ed — Digital Learning Resources: https://ed.ted.com</w:t>
      </w:r>
    </w:p>
    <w:p w14:paraId="4C70942C" w14:textId="77777777" w:rsidR="004E34B7" w:rsidRDefault="00691583">
      <w:pPr>
        <w:pStyle w:val="ListParagraph"/>
        <w:numPr>
          <w:ilvl w:val="0"/>
          <w:numId w:val="2"/>
        </w:numPr>
        <w:spacing w:before="60" w:after="60" w:line="360" w:lineRule="auto"/>
      </w:pPr>
      <w:r>
        <w:rPr>
          <w:color w:val="1A1A1A"/>
        </w:rPr>
        <w:t>National Cyber Crime Reporting Portal (India): https://cybercrime.gov.in</w:t>
      </w:r>
    </w:p>
    <w:p w14:paraId="15F12F88" w14:textId="77777777" w:rsidR="004E34B7" w:rsidRDefault="00691583">
      <w:pPr>
        <w:pStyle w:val="ListParagraph"/>
        <w:numPr>
          <w:ilvl w:val="0"/>
          <w:numId w:val="2"/>
        </w:numPr>
        <w:spacing w:before="60" w:after="60" w:line="360" w:lineRule="auto"/>
      </w:pPr>
      <w:r>
        <w:rPr>
          <w:color w:val="1A1A1A"/>
        </w:rPr>
        <w:t>Reserve Bank of India — Digital Payments Safety: https://www.rbi.org.in</w:t>
      </w:r>
    </w:p>
    <w:p w14:paraId="60B93C30" w14:textId="77777777" w:rsidR="004E34B7" w:rsidRDefault="004E34B7">
      <w:pPr>
        <w:spacing w:before="80" w:after="80"/>
      </w:pPr>
    </w:p>
    <w:p w14:paraId="3D46D7BA" w14:textId="77777777" w:rsidR="004E34B7" w:rsidRDefault="00691583">
      <w:pPr>
        <w:pBdr>
          <w:top w:val="single" w:sz="4" w:space="8" w:color="2E74B5"/>
        </w:pBdr>
        <w:spacing w:before="400" w:after="80"/>
        <w:jc w:val="center"/>
      </w:pPr>
      <w:r>
        <w:rPr>
          <w:i/>
          <w:iCs/>
          <w:color w:val="888888"/>
          <w:sz w:val="20"/>
          <w:szCs w:val="20"/>
        </w:rPr>
        <w:t>End of Report  |  Yashraj  |  25BAI11556  |  CSE0001 – Digital Literacy  |  VIT Bhopal University</w:t>
      </w:r>
    </w:p>
    <w:sectPr w:rsidR="004E34B7">
      <w:headerReference w:type="default" r:id="rId13"/>
      <w:footerReference w:type="default" r:id="rId14"/>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99971" w14:textId="77777777" w:rsidR="00932CBA" w:rsidRDefault="00932CBA">
      <w:r>
        <w:separator/>
      </w:r>
    </w:p>
  </w:endnote>
  <w:endnote w:type="continuationSeparator" w:id="0">
    <w:p w14:paraId="7C4C5BEE" w14:textId="77777777" w:rsidR="00932CBA" w:rsidRDefault="0093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4D23" w14:textId="77777777" w:rsidR="002431CE" w:rsidRDefault="002431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00B7" w14:textId="77777777" w:rsidR="002431CE" w:rsidRDefault="002431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5BC1" w14:textId="77777777" w:rsidR="002431CE" w:rsidRDefault="002431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FAF8" w14:textId="77777777" w:rsidR="004E34B7" w:rsidRDefault="00691583">
    <w:pPr>
      <w:pBdr>
        <w:top w:val="single" w:sz="4" w:space="4" w:color="2E74B5"/>
      </w:pBdr>
      <w:spacing w:before="60"/>
      <w:jc w:val="center"/>
    </w:pPr>
    <w:r>
      <w:rPr>
        <w:color w:val="777777"/>
        <w:sz w:val="18"/>
        <w:szCs w:val="18"/>
      </w:rPr>
      <w:t xml:space="preserve">The Digital Divide </w:t>
    </w:r>
    <w:proofErr w:type="gramStart"/>
    <w:r>
      <w:rPr>
        <w:color w:val="777777"/>
        <w:sz w:val="18"/>
        <w:szCs w:val="18"/>
      </w:rPr>
      <w:t>Within  |</w:t>
    </w:r>
    <w:proofErr w:type="gramEnd"/>
    <w:r>
      <w:rPr>
        <w:color w:val="777777"/>
        <w:sz w:val="18"/>
        <w:szCs w:val="18"/>
      </w:rPr>
      <w:t xml:space="preserve">  Individual Case </w:t>
    </w:r>
    <w:proofErr w:type="gramStart"/>
    <w:r>
      <w:rPr>
        <w:color w:val="777777"/>
        <w:sz w:val="18"/>
        <w:szCs w:val="18"/>
      </w:rPr>
      <w:t>Study  |</w:t>
    </w:r>
    <w:proofErr w:type="gramEnd"/>
    <w:r>
      <w:rPr>
        <w:color w:val="777777"/>
        <w:sz w:val="18"/>
        <w:szCs w:val="18"/>
      </w:rPr>
      <w:t xml:space="preserve">  VIT Bhopal </w:t>
    </w:r>
    <w:proofErr w:type="gramStart"/>
    <w:r>
      <w:rPr>
        <w:color w:val="777777"/>
        <w:sz w:val="18"/>
        <w:szCs w:val="18"/>
      </w:rPr>
      <w:t>University  |</w:t>
    </w:r>
    <w:proofErr w:type="gramEnd"/>
    <w:r>
      <w:rPr>
        <w:color w:val="777777"/>
        <w:sz w:val="18"/>
        <w:szCs w:val="18"/>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7AEB" w14:textId="77777777" w:rsidR="00932CBA" w:rsidRDefault="00932CBA">
      <w:r>
        <w:separator/>
      </w:r>
    </w:p>
  </w:footnote>
  <w:footnote w:type="continuationSeparator" w:id="0">
    <w:p w14:paraId="011A8B42" w14:textId="77777777" w:rsidR="00932CBA" w:rsidRDefault="00932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460E" w14:textId="77777777" w:rsidR="002431CE" w:rsidRDefault="002431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0719" w14:textId="77777777" w:rsidR="002431CE" w:rsidRDefault="002431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E7BA" w14:textId="77777777" w:rsidR="002431CE" w:rsidRDefault="002431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2900" w14:textId="3A8CD058" w:rsidR="004E34B7" w:rsidRDefault="00691583">
    <w:pPr>
      <w:pBdr>
        <w:bottom w:val="single" w:sz="4" w:space="4" w:color="2E74B5"/>
      </w:pBdr>
      <w:spacing w:after="60"/>
    </w:pPr>
    <w:r>
      <w:rPr>
        <w:color w:val="777777"/>
        <w:sz w:val="18"/>
        <w:szCs w:val="18"/>
      </w:rPr>
      <w:t xml:space="preserve">Digital Literacy Case Study  |  CSE0001  |  </w:t>
    </w:r>
    <w:r w:rsidR="002431CE">
      <w:rPr>
        <w:color w:val="777777"/>
        <w:sz w:val="18"/>
        <w:szCs w:val="18"/>
      </w:rPr>
      <w:t>AARUSHI</w:t>
    </w:r>
    <w:r>
      <w:rPr>
        <w:color w:val="777777"/>
        <w:sz w:val="18"/>
        <w:szCs w:val="18"/>
      </w:rPr>
      <w:t xml:space="preserve"> </w:t>
    </w:r>
    <w:r w:rsidR="002431CE">
      <w:rPr>
        <w:color w:val="777777"/>
        <w:sz w:val="18"/>
        <w:szCs w:val="18"/>
      </w:rPr>
      <w:t xml:space="preserve"> </w:t>
    </w:r>
    <w:r w:rsidR="002431CE">
      <w:rPr>
        <w:color w:val="777777"/>
        <w:sz w:val="18"/>
        <w:szCs w:val="18"/>
      </w:rPr>
      <w:t>JAIN</w:t>
    </w:r>
    <w:r>
      <w:rPr>
        <w:color w:val="777777"/>
        <w:sz w:val="18"/>
        <w:szCs w:val="18"/>
      </w:rPr>
      <w:t xml:space="preserve"> |  25BAI1155</w:t>
    </w:r>
    <w:r w:rsidR="002431CE">
      <w:rPr>
        <w:color w:val="777777"/>
        <w:sz w:val="18"/>
        <w:szCs w:val="18"/>
      </w:rPr>
      <w:t>8</w:t>
    </w:r>
    <w:r>
      <w:rPr>
        <w:color w:val="777777"/>
        <w:sz w:val="18"/>
        <w:szCs w:val="18"/>
      </w:rPr>
      <w:t xml:space="preserve"> |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54351"/>
    <w:multiLevelType w:val="hybridMultilevel"/>
    <w:tmpl w:val="52DE8A16"/>
    <w:lvl w:ilvl="0" w:tplc="01743C86">
      <w:start w:val="1"/>
      <w:numFmt w:val="bullet"/>
      <w:lvlText w:val="●"/>
      <w:lvlJc w:val="left"/>
      <w:pPr>
        <w:ind w:left="720" w:hanging="360"/>
      </w:pPr>
    </w:lvl>
    <w:lvl w:ilvl="1" w:tplc="6C56A858">
      <w:start w:val="1"/>
      <w:numFmt w:val="bullet"/>
      <w:lvlText w:val="○"/>
      <w:lvlJc w:val="left"/>
      <w:pPr>
        <w:ind w:left="1440" w:hanging="360"/>
      </w:pPr>
    </w:lvl>
    <w:lvl w:ilvl="2" w:tplc="B454A356">
      <w:start w:val="1"/>
      <w:numFmt w:val="bullet"/>
      <w:lvlText w:val="■"/>
      <w:lvlJc w:val="left"/>
      <w:pPr>
        <w:ind w:left="2160" w:hanging="360"/>
      </w:pPr>
    </w:lvl>
    <w:lvl w:ilvl="3" w:tplc="9F74C058">
      <w:start w:val="1"/>
      <w:numFmt w:val="bullet"/>
      <w:lvlText w:val="●"/>
      <w:lvlJc w:val="left"/>
      <w:pPr>
        <w:ind w:left="2880" w:hanging="360"/>
      </w:pPr>
    </w:lvl>
    <w:lvl w:ilvl="4" w:tplc="9BD02C14">
      <w:start w:val="1"/>
      <w:numFmt w:val="bullet"/>
      <w:lvlText w:val="○"/>
      <w:lvlJc w:val="left"/>
      <w:pPr>
        <w:ind w:left="3600" w:hanging="360"/>
      </w:pPr>
    </w:lvl>
    <w:lvl w:ilvl="5" w:tplc="69D6D026">
      <w:start w:val="1"/>
      <w:numFmt w:val="bullet"/>
      <w:lvlText w:val="■"/>
      <w:lvlJc w:val="left"/>
      <w:pPr>
        <w:ind w:left="4320" w:hanging="360"/>
      </w:pPr>
    </w:lvl>
    <w:lvl w:ilvl="6" w:tplc="C55E297E">
      <w:start w:val="1"/>
      <w:numFmt w:val="bullet"/>
      <w:lvlText w:val="●"/>
      <w:lvlJc w:val="left"/>
      <w:pPr>
        <w:ind w:left="5040" w:hanging="360"/>
      </w:pPr>
    </w:lvl>
    <w:lvl w:ilvl="7" w:tplc="2578D942">
      <w:start w:val="1"/>
      <w:numFmt w:val="bullet"/>
      <w:lvlText w:val="●"/>
      <w:lvlJc w:val="left"/>
      <w:pPr>
        <w:ind w:left="5760" w:hanging="360"/>
      </w:pPr>
    </w:lvl>
    <w:lvl w:ilvl="8" w:tplc="74765686">
      <w:start w:val="1"/>
      <w:numFmt w:val="bullet"/>
      <w:lvlText w:val="●"/>
      <w:lvlJc w:val="left"/>
      <w:pPr>
        <w:ind w:left="6480" w:hanging="360"/>
      </w:pPr>
    </w:lvl>
  </w:abstractNum>
  <w:abstractNum w:abstractNumId="1" w15:restartNumberingAfterBreak="0">
    <w:nsid w:val="5F7D019B"/>
    <w:multiLevelType w:val="hybridMultilevel"/>
    <w:tmpl w:val="6A0E0FA0"/>
    <w:lvl w:ilvl="0" w:tplc="E4B20F68">
      <w:start w:val="1"/>
      <w:numFmt w:val="bullet"/>
      <w:lvlText w:val="•"/>
      <w:lvlJc w:val="left"/>
      <w:pPr>
        <w:ind w:left="720" w:hanging="360"/>
      </w:pPr>
    </w:lvl>
    <w:lvl w:ilvl="1" w:tplc="590216BA">
      <w:numFmt w:val="decimal"/>
      <w:lvlText w:val=""/>
      <w:lvlJc w:val="left"/>
    </w:lvl>
    <w:lvl w:ilvl="2" w:tplc="4ADEBD3E">
      <w:numFmt w:val="decimal"/>
      <w:lvlText w:val=""/>
      <w:lvlJc w:val="left"/>
    </w:lvl>
    <w:lvl w:ilvl="3" w:tplc="8C38D678">
      <w:numFmt w:val="decimal"/>
      <w:lvlText w:val=""/>
      <w:lvlJc w:val="left"/>
    </w:lvl>
    <w:lvl w:ilvl="4" w:tplc="474A560A">
      <w:numFmt w:val="decimal"/>
      <w:lvlText w:val=""/>
      <w:lvlJc w:val="left"/>
    </w:lvl>
    <w:lvl w:ilvl="5" w:tplc="358802D8">
      <w:numFmt w:val="decimal"/>
      <w:lvlText w:val=""/>
      <w:lvlJc w:val="left"/>
    </w:lvl>
    <w:lvl w:ilvl="6" w:tplc="97AA01C2">
      <w:numFmt w:val="decimal"/>
      <w:lvlText w:val=""/>
      <w:lvlJc w:val="left"/>
    </w:lvl>
    <w:lvl w:ilvl="7" w:tplc="EAB018F0">
      <w:numFmt w:val="decimal"/>
      <w:lvlText w:val=""/>
      <w:lvlJc w:val="left"/>
    </w:lvl>
    <w:lvl w:ilvl="8" w:tplc="1026C144">
      <w:numFmt w:val="decimal"/>
      <w:lvlText w:val=""/>
      <w:lvlJc w:val="left"/>
    </w:lvl>
  </w:abstractNum>
  <w:num w:numId="1" w16cid:durableId="1905528250">
    <w:abstractNumId w:val="0"/>
    <w:lvlOverride w:ilvl="0">
      <w:startOverride w:val="1"/>
    </w:lvlOverride>
  </w:num>
  <w:num w:numId="2" w16cid:durableId="707342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B7"/>
    <w:rsid w:val="002431CE"/>
    <w:rsid w:val="003A7E4D"/>
    <w:rsid w:val="004E34B7"/>
    <w:rsid w:val="005C7EAA"/>
    <w:rsid w:val="00691583"/>
    <w:rsid w:val="00860A17"/>
    <w:rsid w:val="00932CBA"/>
    <w:rsid w:val="00BE47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A557"/>
  <w15:docId w15:val="{C55D2548-CD59-476E-A589-3C9EC8BE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b/>
      <w:bCs/>
      <w:color w:val="1F3864"/>
      <w:sz w:val="30"/>
      <w:szCs w:val="30"/>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431CE"/>
    <w:pPr>
      <w:tabs>
        <w:tab w:val="center" w:pos="4680"/>
        <w:tab w:val="right" w:pos="9360"/>
      </w:tabs>
    </w:pPr>
  </w:style>
  <w:style w:type="character" w:customStyle="1" w:styleId="HeaderChar">
    <w:name w:val="Header Char"/>
    <w:basedOn w:val="DefaultParagraphFont"/>
    <w:link w:val="Header"/>
    <w:uiPriority w:val="99"/>
    <w:rsid w:val="002431CE"/>
  </w:style>
  <w:style w:type="paragraph" w:styleId="Footer">
    <w:name w:val="footer"/>
    <w:basedOn w:val="Normal"/>
    <w:link w:val="FooterChar"/>
    <w:uiPriority w:val="99"/>
    <w:unhideWhenUsed/>
    <w:rsid w:val="002431CE"/>
    <w:pPr>
      <w:tabs>
        <w:tab w:val="center" w:pos="4680"/>
        <w:tab w:val="right" w:pos="9360"/>
      </w:tabs>
    </w:pPr>
  </w:style>
  <w:style w:type="character" w:customStyle="1" w:styleId="FooterChar">
    <w:name w:val="Footer Char"/>
    <w:basedOn w:val="DefaultParagraphFont"/>
    <w:link w:val="Footer"/>
    <w:uiPriority w:val="99"/>
    <w:rsid w:val="00243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3996</Words>
  <Characters>22782</Characters>
  <Application>Microsoft Office Word</Application>
  <DocSecurity>0</DocSecurity>
  <Lines>189</Lines>
  <Paragraphs>53</Paragraphs>
  <ScaleCrop>false</ScaleCrop>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Aarushi Jain</cp:lastModifiedBy>
  <cp:revision>2</cp:revision>
  <dcterms:created xsi:type="dcterms:W3CDTF">2026-03-31T11:46:00Z</dcterms:created>
  <dcterms:modified xsi:type="dcterms:W3CDTF">2026-03-31T11:46:00Z</dcterms:modified>
</cp:coreProperties>
</file>