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Customer Retention &amp; Churn Analysis Report</w:t>
      </w:r>
    </w:p>
    <w:p>
      <w:pPr>
        <w:pStyle w:val="Heading2"/>
      </w:pPr>
      <w:r>
        <w:t>Executive Summary</w:t>
      </w:r>
    </w:p>
    <w:p>
      <w:r>
        <w:t>The SaaS retention analysis identified an overall churn rate of 9.72%. Customer churn is primarily driven by pricing concerns, support-related dissatisfaction, and product fit challenges. Enterprise and Pro customers showed stronger retention compared to Basic plans.</w:t>
      </w:r>
    </w:p>
    <w:p>
      <w:pPr>
        <w:pStyle w:val="Heading2"/>
      </w:pPr>
      <w:r>
        <w:t>Key Findings</w:t>
      </w:r>
    </w:p>
    <w:p>
      <w:r>
        <w:t>1. Churn rates fluctuate monthly, indicating seasonal customer behavior.</w:t>
      </w:r>
    </w:p>
    <w:p>
      <w:r>
        <w:t>2. Pricing and customer support are the leading churn drivers.</w:t>
      </w:r>
    </w:p>
    <w:p>
      <w:r>
        <w:t>3. Basic-tier customers are more likely to churn than higher-tier customers.</w:t>
      </w:r>
    </w:p>
    <w:p>
      <w:r>
        <w:t>4. Slow ticket resolution times correlate with lower customer satisfaction.</w:t>
      </w:r>
    </w:p>
    <w:p>
      <w:pPr>
        <w:pStyle w:val="Heading2"/>
      </w:pPr>
      <w:r>
        <w:t>Retention Trends</w:t>
      </w:r>
    </w:p>
    <w:p>
      <w:r>
        <w:t>Higher-value subscription plans demonstrate better retention performance. Customers with long-term engagement and auto-renew enabled are less likely to churn.</w:t>
      </w:r>
    </w:p>
    <w:p>
      <w:pPr>
        <w:pStyle w:val="Heading2"/>
      </w:pPr>
      <w:r>
        <w:t>Actionable Recommendations</w:t>
      </w:r>
    </w:p>
    <w:p>
      <w:pPr>
        <w:pStyle w:val="ListBullet"/>
      </w:pPr>
      <w:r>
        <w:t>Introduce loyalty discounts or annual subscription incentives for Basic-tier customers.</w:t>
      </w:r>
    </w:p>
    <w:p>
      <w:pPr>
        <w:pStyle w:val="ListBullet"/>
      </w:pPr>
      <w:r>
        <w:t>Improve onboarding journeys for new customers during the first 90 days.</w:t>
      </w:r>
    </w:p>
    <w:p>
      <w:pPr>
        <w:pStyle w:val="ListBullet"/>
      </w:pPr>
      <w:r>
        <w:t>Reduce support response and resolution times using automated workflows.</w:t>
      </w:r>
    </w:p>
    <w:p>
      <w:pPr>
        <w:pStyle w:val="ListBullet"/>
      </w:pPr>
      <w:r>
        <w:t>Launch proactive customer success outreach for accounts showing declining usage.</w:t>
      </w:r>
    </w:p>
    <w:p>
      <w:pPr>
        <w:pStyle w:val="ListBullet"/>
      </w:pPr>
      <w:r>
        <w:t>Provide targeted upsell offers for engaged customers to improve retention.</w:t>
      </w:r>
    </w:p>
    <w:p>
      <w:pPr>
        <w:pStyle w:val="Heading2"/>
      </w:pPr>
      <w:r>
        <w:t>Dashboard Snapshot</w:t>
      </w:r>
    </w:p>
    <w:p>
      <w:r>
        <w:drawing>
          <wp:inline xmlns:a="http://schemas.openxmlformats.org/drawingml/2006/main" xmlns:pic="http://schemas.openxmlformats.org/drawingml/2006/picture">
            <wp:extent cx="5943600" cy="39490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tention_dashboar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907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