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5B8A"/>
          <w:sz w:val="40"/>
          <w:szCs w:val="40"/>
        </w:rPr>
        <w:t xml:space="preserve">Customer Segmentation Using RFM Analysis and K-Means Clustering</w:t>
      </w:r>
    </w:p>
    <w:p>
      <w:pPr>
        <w:spacing w:after="300"/>
      </w:pPr>
      <w:r>
        <w:rPr>
          <w:i/>
          <w:iCs/>
          <w:color w:val="555555"/>
          <w:sz w:val="24"/>
          <w:szCs w:val="24"/>
        </w:rPr>
        <w:t xml:space="preserve">Online Retail II Dataset — Automatic K-Optimization and RFM-Based Segmentation</w:t>
      </w:r>
    </w:p>
    <w:p>
      <w:pPr>
        <w:spacing w:after="400"/>
      </w:pPr>
      <w:r>
        <w:rPr>
          <w:color w:val="777777"/>
          <w:sz w:val="20"/>
          <w:szCs w:val="20"/>
        </w:rPr>
        <w:t xml:space="preserve">Prepared for placement portfolio  |  Methodology reference: Vo et al., "Customer Segmentation: Automatic K-Optimization and RFM-Based K-Means Clustering", ICIIT 2025</w:t>
      </w:r>
    </w:p>
    <w:p>
      <w:pPr>
        <w:pStyle w:val="Heading1"/>
        <w:spacing w:after="150" w:before="300"/>
      </w:pPr>
      <w:r>
        <w:t xml:space="preserve">1. Objective</w:t>
      </w:r>
    </w:p>
    <w:p>
      <w:pPr>
        <w:spacing w:after="150"/>
        <w:jc w:val="both"/>
      </w:pPr>
      <w:r>
        <w:t xml:space="preserve">This project segments customers of a UK-based online retailer into meaningful behavioural groups using their historical purchase transactions. The goal is to answer the following question: can customers be grouped into statistically distinct, business-interpretable segments based on Recency, Frequency, and Monetary (RFM) behaviour, using an unsupervised machine learning approach (K-Means clustering)? The resulting segments are translated into targeted marketing recommendations for each group.</w:t>
      </w:r>
    </w:p>
    <w:p>
      <w:pPr>
        <w:spacing w:after="150"/>
        <w:jc w:val="both"/>
      </w:pPr>
      <w:r>
        <w:t xml:space="preserve">The workflow follows the methodology described in the referenced ICIIT 2025 paper as a structural reference. Every step was independently implemented and validated on the dataset; results were compared against the paper's reported statistics at each stage rather than assumed.</w:t>
      </w:r>
    </w:p>
    <w:p>
      <w:pPr>
        <w:pStyle w:val="Heading1"/>
        <w:spacing w:after="150" w:before="300"/>
      </w:pPr>
      <w:r>
        <w:t xml:space="preserve">2. Dataset</w:t>
      </w:r>
    </w:p>
    <w:p>
      <w:pPr>
        <w:spacing w:after="150"/>
        <w:jc w:val="both"/>
      </w:pPr>
      <w:r>
        <w:t xml:space="preserve">Dataset: Online Retail II, UCI Machine Learning Repository.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2E5B8A" w:val="clear"/>
            <w:tcMar>
              <w:top w:type="dxa" w:w="100"/>
              <w:left w:type="dxa" w:w="120"/>
              <w:bottom w:type="dxa" w:w="100"/>
              <w:right w:type="dxa" w:w="120"/>
            </w:tcMar>
          </w:tcPr>
          <w:p>
            <w:r>
              <w:rPr>
                <w:b/>
                <w:bCs/>
                <w:color w:val="FFFFFF"/>
                <w:sz w:val="20"/>
                <w:szCs w:val="20"/>
              </w:rPr>
              <w:t xml:space="preserve">Field</w:t>
            </w:r>
          </w:p>
        </w:tc>
        <w:tc>
          <w:tcPr>
            <w:tcW w:type="dxa" w:w="6900"/>
            <w:shd w:fill="2E5B8A" w:val="clear"/>
            <w:tcMar>
              <w:top w:type="dxa" w:w="100"/>
              <w:left w:type="dxa" w:w="120"/>
              <w:bottom w:type="dxa" w:w="100"/>
              <w:right w:type="dxa" w:w="120"/>
            </w:tcMar>
          </w:tcPr>
          <w:p>
            <w:r>
              <w:rPr>
                <w:b/>
                <w:bCs/>
                <w:color w:val="FFFFFF"/>
                <w:sz w:val="20"/>
                <w:szCs w:val="20"/>
              </w:rPr>
              <w:t xml:space="preserve">Description</w:t>
            </w:r>
          </w:p>
        </w:tc>
      </w:tr>
      <w:tr>
        <w:tc>
          <w:tcPr>
            <w:tcW w:type="dxa" w:w="2400"/>
            <w:tcMar>
              <w:top w:type="dxa" w:w="100"/>
              <w:left w:type="dxa" w:w="120"/>
              <w:bottom w:type="dxa" w:w="100"/>
              <w:right w:type="dxa" w:w="120"/>
            </w:tcMar>
          </w:tcPr>
          <w:p>
            <w:r>
              <w:rPr>
                <w:b w:val="false"/>
                <w:bCs w:val="false"/>
                <w:color w:val="000000"/>
                <w:sz w:val="20"/>
                <w:szCs w:val="20"/>
              </w:rPr>
              <w:t xml:space="preserve">Invoice</w:t>
            </w:r>
          </w:p>
        </w:tc>
        <w:tc>
          <w:tcPr>
            <w:tcW w:type="dxa" w:w="6900"/>
            <w:tcMar>
              <w:top w:type="dxa" w:w="100"/>
              <w:left w:type="dxa" w:w="120"/>
              <w:bottom w:type="dxa" w:w="100"/>
              <w:right w:type="dxa" w:w="120"/>
            </w:tcMar>
          </w:tcPr>
          <w:p>
            <w:r>
              <w:rPr>
                <w:b w:val="false"/>
                <w:bCs w:val="false"/>
                <w:color w:val="000000"/>
                <w:sz w:val="20"/>
                <w:szCs w:val="20"/>
              </w:rPr>
              <w:t xml:space="preserve">Unique transaction/invoice number (prefix 'C' indicates a cancellation)</w:t>
            </w:r>
          </w:p>
        </w:tc>
      </w:tr>
      <w:tr>
        <w:tc>
          <w:tcPr>
            <w:tcW w:type="dxa" w:w="2400"/>
            <w:shd w:fill="EAF1F8" w:val="clear"/>
            <w:tcMar>
              <w:top w:type="dxa" w:w="100"/>
              <w:left w:type="dxa" w:w="120"/>
              <w:bottom w:type="dxa" w:w="100"/>
              <w:right w:type="dxa" w:w="120"/>
            </w:tcMar>
          </w:tcPr>
          <w:p>
            <w:r>
              <w:rPr>
                <w:b w:val="false"/>
                <w:bCs w:val="false"/>
                <w:color w:val="000000"/>
                <w:sz w:val="20"/>
                <w:szCs w:val="20"/>
              </w:rPr>
              <w:t xml:space="preserve">StockCode</w:t>
            </w:r>
          </w:p>
        </w:tc>
        <w:tc>
          <w:tcPr>
            <w:tcW w:type="dxa" w:w="6900"/>
            <w:shd w:fill="EAF1F8" w:val="clear"/>
            <w:tcMar>
              <w:top w:type="dxa" w:w="100"/>
              <w:left w:type="dxa" w:w="120"/>
              <w:bottom w:type="dxa" w:w="100"/>
              <w:right w:type="dxa" w:w="120"/>
            </w:tcMar>
          </w:tcPr>
          <w:p>
            <w:r>
              <w:rPr>
                <w:b w:val="false"/>
                <w:bCs w:val="false"/>
                <w:color w:val="000000"/>
                <w:sz w:val="20"/>
                <w:szCs w:val="20"/>
              </w:rPr>
              <w:t xml:space="preserve">Product/item code</w:t>
            </w:r>
          </w:p>
        </w:tc>
      </w:tr>
      <w:tr>
        <w:tc>
          <w:tcPr>
            <w:tcW w:type="dxa" w:w="2400"/>
            <w:tcMar>
              <w:top w:type="dxa" w:w="100"/>
              <w:left w:type="dxa" w:w="120"/>
              <w:bottom w:type="dxa" w:w="100"/>
              <w:right w:type="dxa" w:w="120"/>
            </w:tcMar>
          </w:tcPr>
          <w:p>
            <w:r>
              <w:rPr>
                <w:b w:val="false"/>
                <w:bCs w:val="false"/>
                <w:color w:val="000000"/>
                <w:sz w:val="20"/>
                <w:szCs w:val="20"/>
              </w:rPr>
              <w:t xml:space="preserve">Description</w:t>
            </w:r>
          </w:p>
        </w:tc>
        <w:tc>
          <w:tcPr>
            <w:tcW w:type="dxa" w:w="6900"/>
            <w:tcMar>
              <w:top w:type="dxa" w:w="100"/>
              <w:left w:type="dxa" w:w="120"/>
              <w:bottom w:type="dxa" w:w="100"/>
              <w:right w:type="dxa" w:w="120"/>
            </w:tcMar>
          </w:tcPr>
          <w:p>
            <w:r>
              <w:rPr>
                <w:b w:val="false"/>
                <w:bCs w:val="false"/>
                <w:color w:val="000000"/>
                <w:sz w:val="20"/>
                <w:szCs w:val="20"/>
              </w:rPr>
              <w:t xml:space="preserve">Product name</w:t>
            </w:r>
          </w:p>
        </w:tc>
      </w:tr>
      <w:tr>
        <w:tc>
          <w:tcPr>
            <w:tcW w:type="dxa" w:w="2400"/>
            <w:shd w:fill="EAF1F8" w:val="clear"/>
            <w:tcMar>
              <w:top w:type="dxa" w:w="100"/>
              <w:left w:type="dxa" w:w="120"/>
              <w:bottom w:type="dxa" w:w="100"/>
              <w:right w:type="dxa" w:w="120"/>
            </w:tcMar>
          </w:tcPr>
          <w:p>
            <w:r>
              <w:rPr>
                <w:b w:val="false"/>
                <w:bCs w:val="false"/>
                <w:color w:val="000000"/>
                <w:sz w:val="20"/>
                <w:szCs w:val="20"/>
              </w:rPr>
              <w:t xml:space="preserve">Quantity</w:t>
            </w:r>
          </w:p>
        </w:tc>
        <w:tc>
          <w:tcPr>
            <w:tcW w:type="dxa" w:w="6900"/>
            <w:shd w:fill="EAF1F8" w:val="clear"/>
            <w:tcMar>
              <w:top w:type="dxa" w:w="100"/>
              <w:left w:type="dxa" w:w="120"/>
              <w:bottom w:type="dxa" w:w="100"/>
              <w:right w:type="dxa" w:w="120"/>
            </w:tcMar>
          </w:tcPr>
          <w:p>
            <w:r>
              <w:rPr>
                <w:b w:val="false"/>
                <w:bCs w:val="false"/>
                <w:color w:val="000000"/>
                <w:sz w:val="20"/>
                <w:szCs w:val="20"/>
              </w:rPr>
              <w:t xml:space="preserve">Units purchased (negative values indicate returns)</w:t>
            </w:r>
          </w:p>
        </w:tc>
      </w:tr>
      <w:tr>
        <w:tc>
          <w:tcPr>
            <w:tcW w:type="dxa" w:w="2400"/>
            <w:tcMar>
              <w:top w:type="dxa" w:w="100"/>
              <w:left w:type="dxa" w:w="120"/>
              <w:bottom w:type="dxa" w:w="100"/>
              <w:right w:type="dxa" w:w="120"/>
            </w:tcMar>
          </w:tcPr>
          <w:p>
            <w:r>
              <w:rPr>
                <w:b w:val="false"/>
                <w:bCs w:val="false"/>
                <w:color w:val="000000"/>
                <w:sz w:val="20"/>
                <w:szCs w:val="20"/>
              </w:rPr>
              <w:t xml:space="preserve">InvoiceDate</w:t>
            </w:r>
          </w:p>
        </w:tc>
        <w:tc>
          <w:tcPr>
            <w:tcW w:type="dxa" w:w="6900"/>
            <w:tcMar>
              <w:top w:type="dxa" w:w="100"/>
              <w:left w:type="dxa" w:w="120"/>
              <w:bottom w:type="dxa" w:w="100"/>
              <w:right w:type="dxa" w:w="120"/>
            </w:tcMar>
          </w:tcPr>
          <w:p>
            <w:r>
              <w:rPr>
                <w:b w:val="false"/>
                <w:bCs w:val="false"/>
                <w:color w:val="000000"/>
                <w:sz w:val="20"/>
                <w:szCs w:val="20"/>
              </w:rPr>
              <w:t xml:space="preserve">Date and time of transaction</w:t>
            </w:r>
          </w:p>
        </w:tc>
      </w:tr>
      <w:tr>
        <w:tc>
          <w:tcPr>
            <w:tcW w:type="dxa" w:w="2400"/>
            <w:shd w:fill="EAF1F8" w:val="clear"/>
            <w:tcMar>
              <w:top w:type="dxa" w:w="100"/>
              <w:left w:type="dxa" w:w="120"/>
              <w:bottom w:type="dxa" w:w="100"/>
              <w:right w:type="dxa" w:w="120"/>
            </w:tcMar>
          </w:tcPr>
          <w:p>
            <w:r>
              <w:rPr>
                <w:b w:val="false"/>
                <w:bCs w:val="false"/>
                <w:color w:val="000000"/>
                <w:sz w:val="20"/>
                <w:szCs w:val="20"/>
              </w:rPr>
              <w:t xml:space="preserve">Price</w:t>
            </w:r>
          </w:p>
        </w:tc>
        <w:tc>
          <w:tcPr>
            <w:tcW w:type="dxa" w:w="6900"/>
            <w:shd w:fill="EAF1F8" w:val="clear"/>
            <w:tcMar>
              <w:top w:type="dxa" w:w="100"/>
              <w:left w:type="dxa" w:w="120"/>
              <w:bottom w:type="dxa" w:w="100"/>
              <w:right w:type="dxa" w:w="120"/>
            </w:tcMar>
          </w:tcPr>
          <w:p>
            <w:r>
              <w:rPr>
                <w:b w:val="false"/>
                <w:bCs w:val="false"/>
                <w:color w:val="000000"/>
                <w:sz w:val="20"/>
                <w:szCs w:val="20"/>
              </w:rPr>
              <w:t xml:space="preserve">Unit price (GBP)</w:t>
            </w:r>
          </w:p>
        </w:tc>
      </w:tr>
      <w:tr>
        <w:tc>
          <w:tcPr>
            <w:tcW w:type="dxa" w:w="2400"/>
            <w:tcMar>
              <w:top w:type="dxa" w:w="100"/>
              <w:left w:type="dxa" w:w="120"/>
              <w:bottom w:type="dxa" w:w="100"/>
              <w:right w:type="dxa" w:w="120"/>
            </w:tcMar>
          </w:tcPr>
          <w:p>
            <w:r>
              <w:rPr>
                <w:b w:val="false"/>
                <w:bCs w:val="false"/>
                <w:color w:val="000000"/>
                <w:sz w:val="20"/>
                <w:szCs w:val="20"/>
              </w:rPr>
              <w:t xml:space="preserve">Customer ID</w:t>
            </w:r>
          </w:p>
        </w:tc>
        <w:tc>
          <w:tcPr>
            <w:tcW w:type="dxa" w:w="6900"/>
            <w:tcMar>
              <w:top w:type="dxa" w:w="100"/>
              <w:left w:type="dxa" w:w="120"/>
              <w:bottom w:type="dxa" w:w="100"/>
              <w:right w:type="dxa" w:w="120"/>
            </w:tcMar>
          </w:tcPr>
          <w:p>
            <w:r>
              <w:rPr>
                <w:b w:val="false"/>
                <w:bCs w:val="false"/>
                <w:color w:val="000000"/>
                <w:sz w:val="20"/>
                <w:szCs w:val="20"/>
              </w:rPr>
              <w:t xml:space="preserve">Unique customer identifier</w:t>
            </w:r>
          </w:p>
        </w:tc>
      </w:tr>
      <w:tr>
        <w:tc>
          <w:tcPr>
            <w:tcW w:type="dxa" w:w="2400"/>
            <w:shd w:fill="EAF1F8" w:val="clear"/>
            <w:tcMar>
              <w:top w:type="dxa" w:w="100"/>
              <w:left w:type="dxa" w:w="120"/>
              <w:bottom w:type="dxa" w:w="100"/>
              <w:right w:type="dxa" w:w="120"/>
            </w:tcMar>
          </w:tcPr>
          <w:p>
            <w:r>
              <w:rPr>
                <w:b w:val="false"/>
                <w:bCs w:val="false"/>
                <w:color w:val="000000"/>
                <w:sz w:val="20"/>
                <w:szCs w:val="20"/>
              </w:rPr>
              <w:t xml:space="preserve">Country</w:t>
            </w:r>
          </w:p>
        </w:tc>
        <w:tc>
          <w:tcPr>
            <w:tcW w:type="dxa" w:w="6900"/>
            <w:shd w:fill="EAF1F8" w:val="clear"/>
            <w:tcMar>
              <w:top w:type="dxa" w:w="100"/>
              <w:left w:type="dxa" w:w="120"/>
              <w:bottom w:type="dxa" w:w="100"/>
              <w:right w:type="dxa" w:w="120"/>
            </w:tcMar>
          </w:tcPr>
          <w:p>
            <w:r>
              <w:rPr>
                <w:b w:val="false"/>
                <w:bCs w:val="false"/>
                <w:color w:val="000000"/>
                <w:sz w:val="20"/>
                <w:szCs w:val="20"/>
              </w:rPr>
              <w:t xml:space="preserve">Customer's country</w:t>
            </w:r>
          </w:p>
        </w:tc>
      </w:tr>
    </w:tbl>
    <w:p>
      <w:pPr>
        <w:spacing w:after="200"/>
      </w:pPr>
    </w:p>
    <w:p>
      <w:pPr>
        <w:spacing w:after="150"/>
        <w:jc w:val="both"/>
      </w:pPr>
      <w:r>
        <w:t xml:space="preserve">Raw dataset size: 1,067,371 transaction rows across 5,942 unique customers, spanning December 2009 to December 2011.</w:t>
      </w:r>
    </w:p>
    <w:p>
      <w:pPr>
        <w:pStyle w:val="Heading1"/>
        <w:spacing w:after="150" w:before="300"/>
      </w:pPr>
      <w:r>
        <w:t xml:space="preserve">3. Data Cleaning</w:t>
      </w:r>
    </w:p>
    <w:p>
      <w:pPr>
        <w:spacing w:after="150"/>
        <w:jc w:val="both"/>
      </w:pPr>
      <w:r>
        <w:t xml:space="preserve">Real transaction data required cleaning before it could reliably represent customer purchasing behaviour. Each cleaning decision was validated against the statistics reported in the reference paper.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2300"/>
        <w:gridCol w:w="1500"/>
      </w:tblGrid>
      <w:tr>
        <w:trPr>
          <w:tblHeader/>
        </w:trPr>
        <w:tc>
          <w:tcPr>
            <w:tcW w:type="dxa" w:w="3200"/>
            <w:shd w:fill="2E5B8A" w:val="clear"/>
            <w:tcMar>
              <w:top w:type="dxa" w:w="100"/>
              <w:left w:type="dxa" w:w="120"/>
              <w:bottom w:type="dxa" w:w="100"/>
              <w:right w:type="dxa" w:w="120"/>
            </w:tcMar>
          </w:tcPr>
          <w:p>
            <w:r>
              <w:rPr>
                <w:b/>
                <w:bCs/>
                <w:color w:val="FFFFFF"/>
                <w:sz w:val="20"/>
                <w:szCs w:val="20"/>
              </w:rPr>
              <w:t xml:space="preserve">Cleaning Step</w:t>
            </w:r>
          </w:p>
        </w:tc>
        <w:tc>
          <w:tcPr>
            <w:tcW w:type="dxa" w:w="2300"/>
            <w:shd w:fill="2E5B8A" w:val="clear"/>
            <w:tcMar>
              <w:top w:type="dxa" w:w="100"/>
              <w:left w:type="dxa" w:w="120"/>
              <w:bottom w:type="dxa" w:w="100"/>
              <w:right w:type="dxa" w:w="120"/>
            </w:tcMar>
          </w:tcPr>
          <w:p>
            <w:r>
              <w:rPr>
                <w:b/>
                <w:bCs/>
                <w:color w:val="FFFFFF"/>
                <w:sz w:val="20"/>
                <w:szCs w:val="20"/>
              </w:rPr>
              <w:t xml:space="preserve">Paper (reported)</w:t>
            </w:r>
          </w:p>
        </w:tc>
        <w:tc>
          <w:tcPr>
            <w:tcW w:type="dxa" w:w="2300"/>
            <w:shd w:fill="2E5B8A" w:val="clear"/>
            <w:tcMar>
              <w:top w:type="dxa" w:w="100"/>
              <w:left w:type="dxa" w:w="120"/>
              <w:bottom w:type="dxa" w:w="100"/>
              <w:right w:type="dxa" w:w="120"/>
            </w:tcMar>
          </w:tcPr>
          <w:p>
            <w:r>
              <w:rPr>
                <w:b/>
                <w:bCs/>
                <w:color w:val="FFFFFF"/>
                <w:sz w:val="20"/>
                <w:szCs w:val="20"/>
              </w:rPr>
              <w:t xml:space="preserve">This Project</w:t>
            </w:r>
          </w:p>
        </w:tc>
        <w:tc>
          <w:tcPr>
            <w:tcW w:type="dxa" w:w="1500"/>
            <w:shd w:fill="2E5B8A" w:val="clear"/>
            <w:tcMar>
              <w:top w:type="dxa" w:w="100"/>
              <w:left w:type="dxa" w:w="120"/>
              <w:bottom w:type="dxa" w:w="100"/>
              <w:right w:type="dxa" w:w="120"/>
            </w:tcMar>
          </w:tcPr>
          <w:p>
            <w:r>
              <w:rPr>
                <w:b/>
                <w:bCs/>
                <w:color w:val="FFFFFF"/>
                <w:sz w:val="20"/>
                <w:szCs w:val="20"/>
              </w:rPr>
              <w:t xml:space="preserve">Match</w:t>
            </w:r>
          </w:p>
        </w:tc>
      </w:tr>
      <w:tr>
        <w:tc>
          <w:tcPr>
            <w:tcW w:type="dxa" w:w="3200"/>
            <w:tcMar>
              <w:top w:type="dxa" w:w="100"/>
              <w:left w:type="dxa" w:w="120"/>
              <w:bottom w:type="dxa" w:w="100"/>
              <w:right w:type="dxa" w:w="120"/>
            </w:tcMar>
          </w:tcPr>
          <w:p>
            <w:r>
              <w:rPr>
                <w:b w:val="false"/>
                <w:bCs w:val="false"/>
                <w:color w:val="000000"/>
                <w:sz w:val="20"/>
                <w:szCs w:val="20"/>
              </w:rPr>
              <w:t xml:space="preserve">Rows with missing Customer ID</w:t>
            </w:r>
          </w:p>
        </w:tc>
        <w:tc>
          <w:tcPr>
            <w:tcW w:type="dxa" w:w="2300"/>
            <w:tcMar>
              <w:top w:type="dxa" w:w="100"/>
              <w:left w:type="dxa" w:w="120"/>
              <w:bottom w:type="dxa" w:w="100"/>
              <w:right w:type="dxa" w:w="120"/>
            </w:tcMar>
          </w:tcPr>
          <w:p>
            <w:r>
              <w:rPr>
                <w:b w:val="false"/>
                <w:bCs w:val="false"/>
                <w:color w:val="000000"/>
                <w:sz w:val="20"/>
                <w:szCs w:val="20"/>
              </w:rPr>
              <w:t xml:space="preserve">243,007</w:t>
            </w:r>
          </w:p>
        </w:tc>
        <w:tc>
          <w:tcPr>
            <w:tcW w:type="dxa" w:w="2300"/>
            <w:tcMar>
              <w:top w:type="dxa" w:w="100"/>
              <w:left w:type="dxa" w:w="120"/>
              <w:bottom w:type="dxa" w:w="100"/>
              <w:right w:type="dxa" w:w="120"/>
            </w:tcMar>
          </w:tcPr>
          <w:p>
            <w:r>
              <w:rPr>
                <w:b w:val="false"/>
                <w:bCs w:val="false"/>
                <w:color w:val="000000"/>
                <w:sz w:val="20"/>
                <w:szCs w:val="20"/>
              </w:rPr>
              <w:t xml:space="preserve">243,007</w:t>
            </w:r>
          </w:p>
        </w:tc>
        <w:tc>
          <w:tcPr>
            <w:tcW w:type="dxa" w:w="1500"/>
            <w:tcMar>
              <w:top w:type="dxa" w:w="100"/>
              <w:left w:type="dxa" w:w="120"/>
              <w:bottom w:type="dxa" w:w="100"/>
              <w:right w:type="dxa" w:w="120"/>
            </w:tcMar>
          </w:tcPr>
          <w:p>
            <w:r>
              <w:rPr>
                <w:b w:val="false"/>
                <w:bCs w:val="false"/>
                <w:color w:val="000000"/>
                <w:sz w:val="20"/>
                <w:szCs w:val="20"/>
              </w:rPr>
              <w:t xml:space="preserve">Exact</w:t>
            </w:r>
          </w:p>
        </w:tc>
      </w:tr>
      <w:tr>
        <w:tc>
          <w:tcPr>
            <w:tcW w:type="dxa" w:w="3200"/>
            <w:shd w:fill="EAF1F8" w:val="clear"/>
            <w:tcMar>
              <w:top w:type="dxa" w:w="100"/>
              <w:left w:type="dxa" w:w="120"/>
              <w:bottom w:type="dxa" w:w="100"/>
              <w:right w:type="dxa" w:w="120"/>
            </w:tcMar>
          </w:tcPr>
          <w:p>
            <w:r>
              <w:rPr>
                <w:b w:val="false"/>
                <w:bCs w:val="false"/>
                <w:color w:val="000000"/>
                <w:sz w:val="20"/>
                <w:szCs w:val="20"/>
              </w:rPr>
              <w:t xml:space="preserve">Duplicate rows removed</w:t>
            </w:r>
          </w:p>
        </w:tc>
        <w:tc>
          <w:tcPr>
            <w:tcW w:type="dxa" w:w="2300"/>
            <w:shd w:fill="EAF1F8" w:val="clear"/>
            <w:tcMar>
              <w:top w:type="dxa" w:w="100"/>
              <w:left w:type="dxa" w:w="120"/>
              <w:bottom w:type="dxa" w:w="100"/>
              <w:right w:type="dxa" w:w="120"/>
            </w:tcMar>
          </w:tcPr>
          <w:p>
            <w:r>
              <w:rPr>
                <w:b w:val="false"/>
                <w:bCs w:val="false"/>
                <w:color w:val="000000"/>
                <w:sz w:val="20"/>
                <w:szCs w:val="20"/>
              </w:rPr>
              <w:t xml:space="preserve">34,335</w:t>
            </w:r>
          </w:p>
        </w:tc>
        <w:tc>
          <w:tcPr>
            <w:tcW w:type="dxa" w:w="2300"/>
            <w:shd w:fill="EAF1F8" w:val="clear"/>
            <w:tcMar>
              <w:top w:type="dxa" w:w="100"/>
              <w:left w:type="dxa" w:w="120"/>
              <w:bottom w:type="dxa" w:w="100"/>
              <w:right w:type="dxa" w:w="120"/>
            </w:tcMar>
          </w:tcPr>
          <w:p>
            <w:r>
              <w:rPr>
                <w:b w:val="false"/>
                <w:bCs w:val="false"/>
                <w:color w:val="000000"/>
                <w:sz w:val="20"/>
                <w:szCs w:val="20"/>
              </w:rPr>
              <w:t xml:space="preserve">34,335</w:t>
            </w:r>
          </w:p>
        </w:tc>
        <w:tc>
          <w:tcPr>
            <w:tcW w:type="dxa" w:w="1500"/>
            <w:shd w:fill="EAF1F8" w:val="clear"/>
            <w:tcMar>
              <w:top w:type="dxa" w:w="100"/>
              <w:left w:type="dxa" w:w="120"/>
              <w:bottom w:type="dxa" w:w="100"/>
              <w:right w:type="dxa" w:w="120"/>
            </w:tcMar>
          </w:tcPr>
          <w:p>
            <w:r>
              <w:rPr>
                <w:b w:val="false"/>
                <w:bCs w:val="false"/>
                <w:color w:val="000000"/>
                <w:sz w:val="20"/>
                <w:szCs w:val="20"/>
              </w:rPr>
              <w:t xml:space="preserve">Exact</w:t>
            </w:r>
          </w:p>
        </w:tc>
      </w:tr>
      <w:tr>
        <w:tc>
          <w:tcPr>
            <w:tcW w:type="dxa" w:w="3200"/>
            <w:tcMar>
              <w:top w:type="dxa" w:w="100"/>
              <w:left w:type="dxa" w:w="120"/>
              <w:bottom w:type="dxa" w:w="100"/>
              <w:right w:type="dxa" w:w="120"/>
            </w:tcMar>
          </w:tcPr>
          <w:p>
            <w:r>
              <w:rPr>
                <w:b w:val="false"/>
                <w:bCs w:val="false"/>
                <w:color w:val="000000"/>
                <w:sz w:val="20"/>
                <w:szCs w:val="20"/>
              </w:rPr>
              <w:t xml:space="preserve">Matched purchase-return pairs removed</w:t>
            </w:r>
          </w:p>
        </w:tc>
        <w:tc>
          <w:tcPr>
            <w:tcW w:type="dxa" w:w="2300"/>
            <w:tcMar>
              <w:top w:type="dxa" w:w="100"/>
              <w:left w:type="dxa" w:w="120"/>
              <w:bottom w:type="dxa" w:w="100"/>
              <w:right w:type="dxa" w:w="120"/>
            </w:tcMar>
          </w:tcPr>
          <w:p>
            <w:r>
              <w:rPr>
                <w:b w:val="false"/>
                <w:bCs w:val="false"/>
                <w:color w:val="000000"/>
                <w:sz w:val="20"/>
                <w:szCs w:val="20"/>
              </w:rPr>
              <w:t xml:space="preserve">Matched via Invoice/StockCode/Price/Qty</w:t>
            </w:r>
          </w:p>
        </w:tc>
        <w:tc>
          <w:tcPr>
            <w:tcW w:type="dxa" w:w="2300"/>
            <w:tcMar>
              <w:top w:type="dxa" w:w="100"/>
              <w:left w:type="dxa" w:w="120"/>
              <w:bottom w:type="dxa" w:w="100"/>
              <w:right w:type="dxa" w:w="120"/>
            </w:tcMar>
          </w:tcPr>
          <w:p>
            <w:r>
              <w:rPr>
                <w:b w:val="false"/>
                <w:bCs w:val="false"/>
                <w:color w:val="000000"/>
                <w:sz w:val="20"/>
                <w:szCs w:val="20"/>
              </w:rPr>
              <w:t xml:space="preserve">8,258 pairs (16,516 rows)</w:t>
            </w:r>
          </w:p>
        </w:tc>
        <w:tc>
          <w:tcPr>
            <w:tcW w:type="dxa" w:w="1500"/>
            <w:tcMar>
              <w:top w:type="dxa" w:w="100"/>
              <w:left w:type="dxa" w:w="120"/>
              <w:bottom w:type="dxa" w:w="100"/>
              <w:right w:type="dxa" w:w="120"/>
            </w:tcMar>
          </w:tcPr>
          <w:p>
            <w:r>
              <w:rPr>
                <w:b w:val="false"/>
                <w:bCs w:val="false"/>
                <w:color w:val="000000"/>
                <w:sz w:val="20"/>
                <w:szCs w:val="20"/>
              </w:rPr>
              <w:t xml:space="preserve">Same method</w:t>
            </w:r>
          </w:p>
        </w:tc>
      </w:tr>
      <w:tr>
        <w:tc>
          <w:tcPr>
            <w:tcW w:type="dxa" w:w="3200"/>
            <w:shd w:fill="EAF1F8" w:val="clear"/>
            <w:tcMar>
              <w:top w:type="dxa" w:w="100"/>
              <w:left w:type="dxa" w:w="120"/>
              <w:bottom w:type="dxa" w:w="100"/>
              <w:right w:type="dxa" w:w="120"/>
            </w:tcMar>
          </w:tcPr>
          <w:p>
            <w:r>
              <w:rPr>
                <w:b w:val="false"/>
                <w:bCs w:val="false"/>
                <w:color w:val="000000"/>
                <w:sz w:val="20"/>
                <w:szCs w:val="20"/>
              </w:rPr>
              <w:t xml:space="preserve">Rows remaining after full cleaning</w:t>
            </w:r>
          </w:p>
        </w:tc>
        <w:tc>
          <w:tcPr>
            <w:tcW w:type="dxa" w:w="2300"/>
            <w:shd w:fill="EAF1F8" w:val="clear"/>
            <w:tcMar>
              <w:top w:type="dxa" w:w="100"/>
              <w:left w:type="dxa" w:w="120"/>
              <w:bottom w:type="dxa" w:w="100"/>
              <w:right w:type="dxa" w:w="120"/>
            </w:tcMar>
          </w:tcPr>
          <w:p>
            <w:r>
              <w:rPr>
                <w:b w:val="false"/>
                <w:bCs w:val="false"/>
                <w:color w:val="000000"/>
                <w:sz w:val="20"/>
                <w:szCs w:val="20"/>
              </w:rPr>
              <w:t xml:space="preserve">779,425</w:t>
            </w:r>
          </w:p>
        </w:tc>
        <w:tc>
          <w:tcPr>
            <w:tcW w:type="dxa" w:w="2300"/>
            <w:shd w:fill="EAF1F8" w:val="clear"/>
            <w:tcMar>
              <w:top w:type="dxa" w:w="100"/>
              <w:left w:type="dxa" w:w="120"/>
              <w:bottom w:type="dxa" w:w="100"/>
              <w:right w:type="dxa" w:w="120"/>
            </w:tcMar>
          </w:tcPr>
          <w:p>
            <w:r>
              <w:rPr>
                <w:b w:val="false"/>
                <w:bCs w:val="false"/>
                <w:color w:val="000000"/>
                <w:sz w:val="20"/>
                <w:szCs w:val="20"/>
              </w:rPr>
              <w:t xml:space="preserve">784,441</w:t>
            </w:r>
          </w:p>
        </w:tc>
        <w:tc>
          <w:tcPr>
            <w:tcW w:type="dxa" w:w="1500"/>
            <w:shd w:fill="EAF1F8" w:val="clear"/>
            <w:tcMar>
              <w:top w:type="dxa" w:w="100"/>
              <w:left w:type="dxa" w:w="120"/>
              <w:bottom w:type="dxa" w:w="100"/>
              <w:right w:type="dxa" w:w="120"/>
            </w:tcMar>
          </w:tcPr>
          <w:p>
            <w:r>
              <w:rPr>
                <w:b w:val="false"/>
                <w:bCs w:val="false"/>
                <w:color w:val="000000"/>
                <w:sz w:val="20"/>
                <w:szCs w:val="20"/>
              </w:rPr>
              <w:t xml:space="preserve">Within ~0.6%</w:t>
            </w:r>
          </w:p>
        </w:tc>
      </w:tr>
    </w:tbl>
    <w:p>
      <w:pPr>
        <w:spacing w:after="200"/>
      </w:pPr>
    </w:p>
    <w:p>
      <w:pPr>
        <w:spacing w:after="150"/>
        <w:jc w:val="both"/>
      </w:pPr>
      <w:r>
        <w:t xml:space="preserve">Cancellations were not removed by a blanket filter on negative Quantity. Instead, cancelled invoices (Invoice numbers prefixed 'C') were matched back to their original purchase using StockCode, Price, Customer ID, Country and absolute Quantity; only matched purchase-return pairs were removed. This preserves genuine unmatched adjustments while eliminating transactions that net to zero for a customer. Rows with Price ≤ 0 (72 rows, largely test entries and free samples) were also removed.</w:t>
      </w:r>
    </w:p>
    <w:p>
      <w:pPr>
        <w:pStyle w:val="Heading1"/>
        <w:spacing w:after="150" w:before="300"/>
      </w:pPr>
      <w:r>
        <w:t xml:space="preserve">4. Feature Engineering — RFM Model</w:t>
      </w:r>
    </w:p>
    <w:p>
      <w:pPr>
        <w:spacing w:after="150"/>
        <w:jc w:val="both"/>
      </w:pPr>
      <w:r>
        <w:t xml:space="preserve">For each customer, three behavioural metrics were computed from the cleaned transaction data:</w:t>
      </w:r>
    </w:p>
    <w:p>
      <w:pPr>
        <w:pStyle w:val="ListParagraph"/>
        <w:numPr>
          <w:ilvl w:val="0"/>
          <w:numId w:val="2"/>
        </w:numPr>
        <w:spacing w:after="80"/>
      </w:pPr>
      <w:r>
        <w:t xml:space="preserve">Recency — days between the customer's most recent purchase and one day after the dataset's last recorded date.</w:t>
      </w:r>
    </w:p>
    <w:p>
      <w:pPr>
        <w:pStyle w:val="ListParagraph"/>
        <w:numPr>
          <w:ilvl w:val="0"/>
          <w:numId w:val="2"/>
        </w:numPr>
        <w:spacing w:after="80"/>
      </w:pPr>
      <w:r>
        <w:t xml:space="preserve">Frequency — number of unique invoices (purchase events) placed by the customer.</w:t>
      </w:r>
    </w:p>
    <w:p>
      <w:pPr>
        <w:pStyle w:val="ListParagraph"/>
        <w:numPr>
          <w:ilvl w:val="0"/>
          <w:numId w:val="2"/>
        </w:numPr>
        <w:spacing w:after="80"/>
      </w:pPr>
      <w:r>
        <w:t xml:space="preserve">Monetary — total amount spent, computed transaction-wise as Quantity × Price and summed per customer.</w:t>
      </w:r>
    </w:p>
    <w:p>
      <w:pPr>
        <w:spacing w:after="150"/>
        <w:jc w:val="both"/>
      </w:pPr>
      <w:r>
        <w:t xml:space="preserve">This produced an RFM table of 5,923 customers. 86 customers with non-positive Monetary value (net returns exceeding purchases) were excluded, as they do not represent valid purchasing behaviour for segmentation, leaving 5,837 customers.</w:t>
      </w:r>
    </w:p>
    <w:p>
      <w:pPr>
        <w:pStyle w:val="Heading1"/>
        <w:spacing w:after="150" w:before="300"/>
      </w:pPr>
      <w:r>
        <w:t xml:space="preserve">5. Outlier Treatment</w:t>
      </w:r>
    </w:p>
    <w:p>
      <w:pPr>
        <w:spacing w:after="150"/>
        <w:jc w:val="both"/>
      </w:pPr>
      <w:r>
        <w:t xml:space="preserve">RFM features — particularly Frequency and Monetary — are highly influenced by a small number of extreme-value customers (e.g. bulk buyers), which can distort distance-based clustering. The IQR (Interquartile Range) method was applied per feature: values outside [Q1 − 1.5×IQR, Q3 + 1.5×IQR] were flagged.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2E5B8A" w:val="clear"/>
            <w:tcMar>
              <w:top w:type="dxa" w:w="100"/>
              <w:left w:type="dxa" w:w="120"/>
              <w:bottom w:type="dxa" w:w="100"/>
              <w:right w:type="dxa" w:w="120"/>
            </w:tcMar>
          </w:tcPr>
          <w:p>
            <w:r>
              <w:rPr>
                <w:b/>
                <w:bCs/>
                <w:color w:val="FFFFFF"/>
                <w:sz w:val="20"/>
                <w:szCs w:val="20"/>
              </w:rPr>
              <w:t xml:space="preserve">Feature</w:t>
            </w:r>
          </w:p>
        </w:tc>
        <w:tc>
          <w:tcPr>
            <w:tcW w:type="dxa" w:w="4650"/>
            <w:shd w:fill="2E5B8A" w:val="clear"/>
            <w:tcMar>
              <w:top w:type="dxa" w:w="100"/>
              <w:left w:type="dxa" w:w="120"/>
              <w:bottom w:type="dxa" w:w="100"/>
              <w:right w:type="dxa" w:w="120"/>
            </w:tcMar>
          </w:tcPr>
          <w:p>
            <w:r>
              <w:rPr>
                <w:b/>
                <w:bCs/>
                <w:color w:val="FFFFFF"/>
                <w:sz w:val="20"/>
                <w:szCs w:val="20"/>
              </w:rPr>
              <w:t xml:space="preserve">Outliers Detected</w:t>
            </w:r>
          </w:p>
        </w:tc>
      </w:tr>
      <w:tr>
        <w:tc>
          <w:tcPr>
            <w:tcW w:type="dxa" w:w="4650"/>
            <w:tcMar>
              <w:top w:type="dxa" w:w="100"/>
              <w:left w:type="dxa" w:w="120"/>
              <w:bottom w:type="dxa" w:w="100"/>
              <w:right w:type="dxa" w:w="120"/>
            </w:tcMar>
          </w:tcPr>
          <w:p>
            <w:r>
              <w:rPr>
                <w:b w:val="false"/>
                <w:bCs w:val="false"/>
                <w:color w:val="000000"/>
                <w:sz w:val="20"/>
                <w:szCs w:val="20"/>
              </w:rPr>
              <w:t xml:space="preserve">Recency</w:t>
            </w:r>
          </w:p>
        </w:tc>
        <w:tc>
          <w:tcPr>
            <w:tcW w:type="dxa" w:w="4650"/>
            <w:tcMar>
              <w:top w:type="dxa" w:w="100"/>
              <w:left w:type="dxa" w:w="120"/>
              <w:bottom w:type="dxa" w:w="100"/>
              <w:right w:type="dxa" w:w="120"/>
            </w:tcMar>
          </w:tcPr>
          <w:p>
            <w:r>
              <w:rPr>
                <w:b w:val="false"/>
                <w:bCs w:val="false"/>
                <w:color w:val="000000"/>
                <w:sz w:val="20"/>
                <w:szCs w:val="20"/>
              </w:rPr>
              <w:t xml:space="preserve">0</w:t>
            </w:r>
          </w:p>
        </w:tc>
      </w:tr>
      <w:tr>
        <w:tc>
          <w:tcPr>
            <w:tcW w:type="dxa" w:w="4650"/>
            <w:shd w:fill="EAF1F8" w:val="clear"/>
            <w:tcMar>
              <w:top w:type="dxa" w:w="100"/>
              <w:left w:type="dxa" w:w="120"/>
              <w:bottom w:type="dxa" w:w="100"/>
              <w:right w:type="dxa" w:w="120"/>
            </w:tcMar>
          </w:tcPr>
          <w:p>
            <w:r>
              <w:rPr>
                <w:b w:val="false"/>
                <w:bCs w:val="false"/>
                <w:color w:val="000000"/>
                <w:sz w:val="20"/>
                <w:szCs w:val="20"/>
              </w:rPr>
              <w:t xml:space="preserve">Frequency</w:t>
            </w:r>
          </w:p>
        </w:tc>
        <w:tc>
          <w:tcPr>
            <w:tcW w:type="dxa" w:w="4650"/>
            <w:shd w:fill="EAF1F8" w:val="clear"/>
            <w:tcMar>
              <w:top w:type="dxa" w:w="100"/>
              <w:left w:type="dxa" w:w="120"/>
              <w:bottom w:type="dxa" w:w="100"/>
              <w:right w:type="dxa" w:w="120"/>
            </w:tcMar>
          </w:tcPr>
          <w:p>
            <w:r>
              <w:rPr>
                <w:b w:val="false"/>
                <w:bCs w:val="false"/>
                <w:color w:val="000000"/>
                <w:sz w:val="20"/>
                <w:szCs w:val="20"/>
              </w:rPr>
              <w:t xml:space="preserve">490</w:t>
            </w:r>
          </w:p>
        </w:tc>
      </w:tr>
      <w:tr>
        <w:tc>
          <w:tcPr>
            <w:tcW w:type="dxa" w:w="4650"/>
            <w:tcMar>
              <w:top w:type="dxa" w:w="100"/>
              <w:left w:type="dxa" w:w="120"/>
              <w:bottom w:type="dxa" w:w="100"/>
              <w:right w:type="dxa" w:w="120"/>
            </w:tcMar>
          </w:tcPr>
          <w:p>
            <w:r>
              <w:rPr>
                <w:b w:val="false"/>
                <w:bCs w:val="false"/>
                <w:color w:val="000000"/>
                <w:sz w:val="20"/>
                <w:szCs w:val="20"/>
              </w:rPr>
              <w:t xml:space="preserve">Monetary</w:t>
            </w:r>
          </w:p>
        </w:tc>
        <w:tc>
          <w:tcPr>
            <w:tcW w:type="dxa" w:w="4650"/>
            <w:tcMar>
              <w:top w:type="dxa" w:w="100"/>
              <w:left w:type="dxa" w:w="120"/>
              <w:bottom w:type="dxa" w:w="100"/>
              <w:right w:type="dxa" w:w="120"/>
            </w:tcMar>
          </w:tcPr>
          <w:p>
            <w:r>
              <w:rPr>
                <w:b w:val="false"/>
                <w:bCs w:val="false"/>
                <w:color w:val="000000"/>
                <w:sz w:val="20"/>
                <w:szCs w:val="20"/>
              </w:rPr>
              <w:t xml:space="preserve">622</w:t>
            </w:r>
          </w:p>
        </w:tc>
      </w:tr>
      <w:tr>
        <w:tc>
          <w:tcPr>
            <w:tcW w:type="dxa" w:w="4650"/>
            <w:shd w:fill="EAF1F8" w:val="clear"/>
            <w:tcMar>
              <w:top w:type="dxa" w:w="100"/>
              <w:left w:type="dxa" w:w="120"/>
              <w:bottom w:type="dxa" w:w="100"/>
              <w:right w:type="dxa" w:w="120"/>
            </w:tcMar>
          </w:tcPr>
          <w:p>
            <w:r>
              <w:rPr>
                <w:b w:val="false"/>
                <w:bCs w:val="false"/>
                <w:color w:val="000000"/>
                <w:sz w:val="20"/>
                <w:szCs w:val="20"/>
              </w:rPr>
              <w:t xml:space="preserve">Total unique rows removed</w:t>
            </w:r>
          </w:p>
        </w:tc>
        <w:tc>
          <w:tcPr>
            <w:tcW w:type="dxa" w:w="4650"/>
            <w:shd w:fill="EAF1F8" w:val="clear"/>
            <w:tcMar>
              <w:top w:type="dxa" w:w="100"/>
              <w:left w:type="dxa" w:w="120"/>
              <w:bottom w:type="dxa" w:w="100"/>
              <w:right w:type="dxa" w:w="120"/>
            </w:tcMar>
          </w:tcPr>
          <w:p>
            <w:r>
              <w:rPr>
                <w:b w:val="false"/>
                <w:bCs w:val="false"/>
                <w:color w:val="000000"/>
                <w:sz w:val="20"/>
                <w:szCs w:val="20"/>
              </w:rPr>
              <w:t xml:space="preserve">714</w:t>
            </w:r>
          </w:p>
        </w:tc>
      </w:tr>
    </w:tbl>
    <w:p>
      <w:pPr>
        <w:spacing w:after="200"/>
      </w:pPr>
    </w:p>
    <w:p>
      <w:pPr>
        <w:spacing w:after="150"/>
        <w:jc w:val="both"/>
      </w:pPr>
      <w:r>
        <w:t xml:space="preserve">This is consistent in scale with the paper's reported removal of 877 outlier points. After removal, 5,123 customers remained for clustering.</w:t>
      </w:r>
    </w:p>
    <w:p>
      <w:pPr>
        <w:pStyle w:val="Heading1"/>
        <w:spacing w:after="150" w:before="300"/>
      </w:pPr>
      <w:r>
        <w:t xml:space="preserve">6. Distribution Analysis and Transformation</w:t>
      </w:r>
    </w:p>
    <w:p>
      <w:pPr>
        <w:spacing w:after="150"/>
        <w:jc w:val="both"/>
      </w:pPr>
      <w:r>
        <w:t xml:space="preserve">K-Means relies on Euclidean distance and performs best when clusters are approximately spherical; heavily skewed features can distort this. The RFM features were confirmed to be right-skewed: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2E5B8A" w:val="clear"/>
            <w:tcMar>
              <w:top w:type="dxa" w:w="100"/>
              <w:left w:type="dxa" w:w="120"/>
              <w:bottom w:type="dxa" w:w="100"/>
              <w:right w:type="dxa" w:w="120"/>
            </w:tcMar>
          </w:tcPr>
          <w:p>
            <w:r>
              <w:rPr>
                <w:b/>
                <w:bCs/>
                <w:color w:val="FFFFFF"/>
                <w:sz w:val="20"/>
                <w:szCs w:val="20"/>
              </w:rPr>
              <w:t xml:space="preserve">Feature</w:t>
            </w:r>
          </w:p>
        </w:tc>
        <w:tc>
          <w:tcPr>
            <w:tcW w:type="dxa" w:w="4650"/>
            <w:shd w:fill="2E5B8A" w:val="clear"/>
            <w:tcMar>
              <w:top w:type="dxa" w:w="100"/>
              <w:left w:type="dxa" w:w="120"/>
              <w:bottom w:type="dxa" w:w="100"/>
              <w:right w:type="dxa" w:w="120"/>
            </w:tcMar>
          </w:tcPr>
          <w:p>
            <w:r>
              <w:rPr>
                <w:b/>
                <w:bCs/>
                <w:color w:val="FFFFFF"/>
                <w:sz w:val="20"/>
                <w:szCs w:val="20"/>
              </w:rPr>
              <w:t xml:space="preserve">Skewness (before transform)</w:t>
            </w:r>
          </w:p>
        </w:tc>
      </w:tr>
      <w:tr>
        <w:tc>
          <w:tcPr>
            <w:tcW w:type="dxa" w:w="4650"/>
            <w:tcMar>
              <w:top w:type="dxa" w:w="100"/>
              <w:left w:type="dxa" w:w="120"/>
              <w:bottom w:type="dxa" w:w="100"/>
              <w:right w:type="dxa" w:w="120"/>
            </w:tcMar>
          </w:tcPr>
          <w:p>
            <w:r>
              <w:rPr>
                <w:b w:val="false"/>
                <w:bCs w:val="false"/>
                <w:color w:val="000000"/>
                <w:sz w:val="20"/>
                <w:szCs w:val="20"/>
              </w:rPr>
              <w:t xml:space="preserve">Recency</w:t>
            </w:r>
          </w:p>
        </w:tc>
        <w:tc>
          <w:tcPr>
            <w:tcW w:type="dxa" w:w="4650"/>
            <w:tcMar>
              <w:top w:type="dxa" w:w="100"/>
              <w:left w:type="dxa" w:w="120"/>
              <w:bottom w:type="dxa" w:w="100"/>
              <w:right w:type="dxa" w:w="120"/>
            </w:tcMar>
          </w:tcPr>
          <w:p>
            <w:r>
              <w:rPr>
                <w:b w:val="false"/>
                <w:bCs w:val="false"/>
                <w:color w:val="000000"/>
                <w:sz w:val="20"/>
                <w:szCs w:val="20"/>
              </w:rPr>
              <w:t xml:space="preserve">0.750</w:t>
            </w:r>
          </w:p>
        </w:tc>
      </w:tr>
      <w:tr>
        <w:tc>
          <w:tcPr>
            <w:tcW w:type="dxa" w:w="4650"/>
            <w:shd w:fill="EAF1F8" w:val="clear"/>
            <w:tcMar>
              <w:top w:type="dxa" w:w="100"/>
              <w:left w:type="dxa" w:w="120"/>
              <w:bottom w:type="dxa" w:w="100"/>
              <w:right w:type="dxa" w:w="120"/>
            </w:tcMar>
          </w:tcPr>
          <w:p>
            <w:r>
              <w:rPr>
                <w:b w:val="false"/>
                <w:bCs w:val="false"/>
                <w:color w:val="000000"/>
                <w:sz w:val="20"/>
                <w:szCs w:val="20"/>
              </w:rPr>
              <w:t xml:space="preserve">Frequency</w:t>
            </w:r>
          </w:p>
        </w:tc>
        <w:tc>
          <w:tcPr>
            <w:tcW w:type="dxa" w:w="4650"/>
            <w:shd w:fill="EAF1F8" w:val="clear"/>
            <w:tcMar>
              <w:top w:type="dxa" w:w="100"/>
              <w:left w:type="dxa" w:w="120"/>
              <w:bottom w:type="dxa" w:w="100"/>
              <w:right w:type="dxa" w:w="120"/>
            </w:tcMar>
          </w:tcPr>
          <w:p>
            <w:r>
              <w:rPr>
                <w:b w:val="false"/>
                <w:bCs w:val="false"/>
                <w:color w:val="000000"/>
                <w:sz w:val="20"/>
                <w:szCs w:val="20"/>
              </w:rPr>
              <w:t xml:space="preserve">1.461</w:t>
            </w:r>
          </w:p>
        </w:tc>
      </w:tr>
      <w:tr>
        <w:tc>
          <w:tcPr>
            <w:tcW w:type="dxa" w:w="4650"/>
            <w:tcMar>
              <w:top w:type="dxa" w:w="100"/>
              <w:left w:type="dxa" w:w="120"/>
              <w:bottom w:type="dxa" w:w="100"/>
              <w:right w:type="dxa" w:w="120"/>
            </w:tcMar>
          </w:tcPr>
          <w:p>
            <w:r>
              <w:rPr>
                <w:b w:val="false"/>
                <w:bCs w:val="false"/>
                <w:color w:val="000000"/>
                <w:sz w:val="20"/>
                <w:szCs w:val="20"/>
              </w:rPr>
              <w:t xml:space="preserve">Monetary</w:t>
            </w:r>
          </w:p>
        </w:tc>
        <w:tc>
          <w:tcPr>
            <w:tcW w:type="dxa" w:w="4650"/>
            <w:tcMar>
              <w:top w:type="dxa" w:w="100"/>
              <w:left w:type="dxa" w:w="120"/>
              <w:bottom w:type="dxa" w:w="100"/>
              <w:right w:type="dxa" w:w="120"/>
            </w:tcMar>
          </w:tcPr>
          <w:p>
            <w:r>
              <w:rPr>
                <w:b w:val="false"/>
                <w:bCs w:val="false"/>
                <w:color w:val="000000"/>
                <w:sz w:val="20"/>
                <w:szCs w:val="20"/>
              </w:rPr>
              <w:t xml:space="preserve">1.495</w:t>
            </w:r>
          </w:p>
        </w:tc>
      </w:tr>
    </w:tbl>
    <w:p>
      <w:pPr>
        <w:spacing w:after="200"/>
      </w:pPr>
    </w:p>
    <w:p>
      <w:pPr>
        <w:spacing w:after="150"/>
        <w:jc w:val="both"/>
      </w:pPr>
      <w:r>
        <w:t xml:space="preserve">Three transformations — Log, Square Root, and Box-Cox — were independently applied and compared by resulting skewness (closer to 0 is better), rather than assuming a result in advance: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300"/>
        <w:gridCol w:w="2300"/>
      </w:tblGrid>
      <w:tr>
        <w:trPr>
          <w:tblHeader/>
        </w:trPr>
        <w:tc>
          <w:tcPr>
            <w:tcW w:type="dxa" w:w="2900"/>
            <w:shd w:fill="2E5B8A" w:val="clear"/>
            <w:tcMar>
              <w:top w:type="dxa" w:w="100"/>
              <w:left w:type="dxa" w:w="120"/>
              <w:bottom w:type="dxa" w:w="100"/>
              <w:right w:type="dxa" w:w="120"/>
            </w:tcMar>
          </w:tcPr>
          <w:p>
            <w:r>
              <w:rPr>
                <w:b/>
                <w:bCs/>
                <w:color w:val="FFFFFF"/>
                <w:sz w:val="20"/>
                <w:szCs w:val="20"/>
              </w:rPr>
              <w:t xml:space="preserve">Feature</w:t>
            </w:r>
          </w:p>
        </w:tc>
        <w:tc>
          <w:tcPr>
            <w:tcW w:type="dxa" w:w="2300"/>
            <w:shd w:fill="2E5B8A" w:val="clear"/>
            <w:tcMar>
              <w:top w:type="dxa" w:w="100"/>
              <w:left w:type="dxa" w:w="120"/>
              <w:bottom w:type="dxa" w:w="100"/>
              <w:right w:type="dxa" w:w="120"/>
            </w:tcMar>
          </w:tcPr>
          <w:p>
            <w:r>
              <w:rPr>
                <w:b/>
                <w:bCs/>
                <w:color w:val="FFFFFF"/>
                <w:sz w:val="20"/>
                <w:szCs w:val="20"/>
              </w:rPr>
              <w:t xml:space="preserve">Log</w:t>
            </w:r>
          </w:p>
        </w:tc>
        <w:tc>
          <w:tcPr>
            <w:tcW w:type="dxa" w:w="2300"/>
            <w:shd w:fill="2E5B8A" w:val="clear"/>
            <w:tcMar>
              <w:top w:type="dxa" w:w="100"/>
              <w:left w:type="dxa" w:w="120"/>
              <w:bottom w:type="dxa" w:w="100"/>
              <w:right w:type="dxa" w:w="120"/>
            </w:tcMar>
          </w:tcPr>
          <w:p>
            <w:r>
              <w:rPr>
                <w:b/>
                <w:bCs/>
                <w:color w:val="FFFFFF"/>
                <w:sz w:val="20"/>
                <w:szCs w:val="20"/>
              </w:rPr>
              <w:t xml:space="preserve">Sqrt</w:t>
            </w:r>
          </w:p>
        </w:tc>
        <w:tc>
          <w:tcPr>
            <w:tcW w:type="dxa" w:w="2300"/>
            <w:shd w:fill="2E5B8A" w:val="clear"/>
            <w:tcMar>
              <w:top w:type="dxa" w:w="100"/>
              <w:left w:type="dxa" w:w="120"/>
              <w:bottom w:type="dxa" w:w="100"/>
              <w:right w:type="dxa" w:w="120"/>
            </w:tcMar>
          </w:tcPr>
          <w:p>
            <w:r>
              <w:rPr>
                <w:b/>
                <w:bCs/>
                <w:color w:val="FFFFFF"/>
                <w:sz w:val="20"/>
                <w:szCs w:val="20"/>
              </w:rPr>
              <w:t xml:space="preserve">Box-Cox</w:t>
            </w:r>
          </w:p>
        </w:tc>
      </w:tr>
      <w:tr>
        <w:tc>
          <w:tcPr>
            <w:tcW w:type="dxa" w:w="2900"/>
            <w:tcMar>
              <w:top w:type="dxa" w:w="100"/>
              <w:left w:type="dxa" w:w="120"/>
              <w:bottom w:type="dxa" w:w="100"/>
              <w:right w:type="dxa" w:w="120"/>
            </w:tcMar>
          </w:tcPr>
          <w:p>
            <w:r>
              <w:rPr>
                <w:b w:val="false"/>
                <w:bCs w:val="false"/>
                <w:color w:val="000000"/>
                <w:sz w:val="20"/>
                <w:szCs w:val="20"/>
              </w:rPr>
              <w:t xml:space="preserve">Recency</w:t>
            </w:r>
          </w:p>
        </w:tc>
        <w:tc>
          <w:tcPr>
            <w:tcW w:type="dxa" w:w="2300"/>
            <w:tcMar>
              <w:top w:type="dxa" w:w="100"/>
              <w:left w:type="dxa" w:w="120"/>
              <w:bottom w:type="dxa" w:w="100"/>
              <w:right w:type="dxa" w:w="120"/>
            </w:tcMar>
          </w:tcPr>
          <w:p>
            <w:r>
              <w:rPr>
                <w:b w:val="false"/>
                <w:bCs w:val="false"/>
                <w:color w:val="000000"/>
                <w:sz w:val="20"/>
                <w:szCs w:val="20"/>
              </w:rPr>
              <w:t xml:space="preserve">-0.603</w:t>
            </w:r>
          </w:p>
        </w:tc>
        <w:tc>
          <w:tcPr>
            <w:tcW w:type="dxa" w:w="2300"/>
            <w:tcMar>
              <w:top w:type="dxa" w:w="100"/>
              <w:left w:type="dxa" w:w="120"/>
              <w:bottom w:type="dxa" w:w="100"/>
              <w:right w:type="dxa" w:w="120"/>
            </w:tcMar>
          </w:tcPr>
          <w:p>
            <w:r>
              <w:rPr>
                <w:b w:val="false"/>
                <w:bCs w:val="false"/>
                <w:color w:val="000000"/>
                <w:sz w:val="20"/>
                <w:szCs w:val="20"/>
              </w:rPr>
              <w:t xml:space="preserve">0.219</w:t>
            </w:r>
          </w:p>
        </w:tc>
        <w:tc>
          <w:tcPr>
            <w:tcW w:type="dxa" w:w="2300"/>
            <w:tcMar>
              <w:top w:type="dxa" w:w="100"/>
              <w:left w:type="dxa" w:w="120"/>
              <w:bottom w:type="dxa" w:w="100"/>
              <w:right w:type="dxa" w:w="120"/>
            </w:tcMar>
          </w:tcPr>
          <w:p>
            <w:r>
              <w:rPr>
                <w:b w:val="false"/>
                <w:bCs w:val="false"/>
                <w:color w:val="000000"/>
                <w:sz w:val="20"/>
                <w:szCs w:val="20"/>
              </w:rPr>
              <w:t xml:space="preserve">-0.145</w:t>
            </w:r>
          </w:p>
        </w:tc>
      </w:tr>
      <w:tr>
        <w:tc>
          <w:tcPr>
            <w:tcW w:type="dxa" w:w="2900"/>
            <w:shd w:fill="EAF1F8" w:val="clear"/>
            <w:tcMar>
              <w:top w:type="dxa" w:w="100"/>
              <w:left w:type="dxa" w:w="120"/>
              <w:bottom w:type="dxa" w:w="100"/>
              <w:right w:type="dxa" w:w="120"/>
            </w:tcMar>
          </w:tcPr>
          <w:p>
            <w:r>
              <w:rPr>
                <w:b w:val="false"/>
                <w:bCs w:val="false"/>
                <w:color w:val="000000"/>
                <w:sz w:val="20"/>
                <w:szCs w:val="20"/>
              </w:rPr>
              <w:t xml:space="preserve">Frequency</w:t>
            </w:r>
          </w:p>
        </w:tc>
        <w:tc>
          <w:tcPr>
            <w:tcW w:type="dxa" w:w="2300"/>
            <w:shd w:fill="EAF1F8" w:val="clear"/>
            <w:tcMar>
              <w:top w:type="dxa" w:w="100"/>
              <w:left w:type="dxa" w:w="120"/>
              <w:bottom w:type="dxa" w:w="100"/>
              <w:right w:type="dxa" w:w="120"/>
            </w:tcMar>
          </w:tcPr>
          <w:p>
            <w:r>
              <w:rPr>
                <w:b w:val="false"/>
                <w:bCs w:val="false"/>
                <w:color w:val="000000"/>
                <w:sz w:val="20"/>
                <w:szCs w:val="20"/>
              </w:rPr>
              <w:t xml:space="preserve">0.439</w:t>
            </w:r>
          </w:p>
        </w:tc>
        <w:tc>
          <w:tcPr>
            <w:tcW w:type="dxa" w:w="2300"/>
            <w:shd w:fill="EAF1F8" w:val="clear"/>
            <w:tcMar>
              <w:top w:type="dxa" w:w="100"/>
              <w:left w:type="dxa" w:w="120"/>
              <w:bottom w:type="dxa" w:w="100"/>
              <w:right w:type="dxa" w:w="120"/>
            </w:tcMar>
          </w:tcPr>
          <w:p>
            <w:r>
              <w:rPr>
                <w:b w:val="false"/>
                <w:bCs w:val="false"/>
                <w:color w:val="000000"/>
                <w:sz w:val="20"/>
                <w:szCs w:val="20"/>
              </w:rPr>
              <w:t xml:space="preserve">0.788</w:t>
            </w:r>
          </w:p>
        </w:tc>
        <w:tc>
          <w:tcPr>
            <w:tcW w:type="dxa" w:w="2300"/>
            <w:shd w:fill="EAF1F8" w:val="clear"/>
            <w:tcMar>
              <w:top w:type="dxa" w:w="100"/>
              <w:left w:type="dxa" w:w="120"/>
              <w:bottom w:type="dxa" w:w="100"/>
              <w:right w:type="dxa" w:w="120"/>
            </w:tcMar>
          </w:tcPr>
          <w:p>
            <w:r>
              <w:rPr>
                <w:b w:val="false"/>
                <w:bCs w:val="false"/>
                <w:color w:val="000000"/>
                <w:sz w:val="20"/>
                <w:szCs w:val="20"/>
              </w:rPr>
              <w:t xml:space="preserve">0.107</w:t>
            </w:r>
          </w:p>
        </w:tc>
      </w:tr>
      <w:tr>
        <w:tc>
          <w:tcPr>
            <w:tcW w:type="dxa" w:w="2900"/>
            <w:tcMar>
              <w:top w:type="dxa" w:w="100"/>
              <w:left w:type="dxa" w:w="120"/>
              <w:bottom w:type="dxa" w:w="100"/>
              <w:right w:type="dxa" w:w="120"/>
            </w:tcMar>
          </w:tcPr>
          <w:p>
            <w:r>
              <w:rPr>
                <w:b w:val="false"/>
                <w:bCs w:val="false"/>
                <w:color w:val="000000"/>
                <w:sz w:val="20"/>
                <w:szCs w:val="20"/>
              </w:rPr>
              <w:t xml:space="preserve">Monetary</w:t>
            </w:r>
          </w:p>
        </w:tc>
        <w:tc>
          <w:tcPr>
            <w:tcW w:type="dxa" w:w="2300"/>
            <w:tcMar>
              <w:top w:type="dxa" w:w="100"/>
              <w:left w:type="dxa" w:w="120"/>
              <w:bottom w:type="dxa" w:w="100"/>
              <w:right w:type="dxa" w:w="120"/>
            </w:tcMar>
          </w:tcPr>
          <w:p>
            <w:r>
              <w:rPr>
                <w:b w:val="false"/>
                <w:bCs w:val="false"/>
                <w:color w:val="000000"/>
                <w:sz w:val="20"/>
                <w:szCs w:val="20"/>
              </w:rPr>
              <w:t xml:space="preserve">-0.362</w:t>
            </w:r>
          </w:p>
        </w:tc>
        <w:tc>
          <w:tcPr>
            <w:tcW w:type="dxa" w:w="2300"/>
            <w:tcMar>
              <w:top w:type="dxa" w:w="100"/>
              <w:left w:type="dxa" w:w="120"/>
              <w:bottom w:type="dxa" w:w="100"/>
              <w:right w:type="dxa" w:w="120"/>
            </w:tcMar>
          </w:tcPr>
          <w:p>
            <w:r>
              <w:rPr>
                <w:b w:val="false"/>
                <w:bCs w:val="false"/>
                <w:color w:val="000000"/>
                <w:sz w:val="20"/>
                <w:szCs w:val="20"/>
              </w:rPr>
              <w:t xml:space="preserve">0.706</w:t>
            </w:r>
          </w:p>
        </w:tc>
        <w:tc>
          <w:tcPr>
            <w:tcW w:type="dxa" w:w="2300"/>
            <w:tcMar>
              <w:top w:type="dxa" w:w="100"/>
              <w:left w:type="dxa" w:w="120"/>
              <w:bottom w:type="dxa" w:w="100"/>
              <w:right w:type="dxa" w:w="120"/>
            </w:tcMar>
          </w:tcPr>
          <w:p>
            <w:r>
              <w:rPr>
                <w:b w:val="false"/>
                <w:bCs w:val="false"/>
                <w:color w:val="000000"/>
                <w:sz w:val="20"/>
                <w:szCs w:val="20"/>
              </w:rPr>
              <w:t xml:space="preserve">-0.026</w:t>
            </w:r>
          </w:p>
        </w:tc>
      </w:tr>
    </w:tbl>
    <w:p>
      <w:pPr>
        <w:spacing w:after="200"/>
      </w:pPr>
    </w:p>
    <w:p>
      <w:pPr>
        <w:spacing w:after="150"/>
        <w:jc w:val="both"/>
      </w:pPr>
      <w:r>
        <w:t xml:space="preserve">Box-Cox produced the skewness closest to zero for all three features and was selected as the transformation for clustering. This independently confirms the transformation choice reported in the reference paper. Features were then standardised (StandardScaler) so that no single feature dominated distance calculations due to scale.</w:t>
      </w:r>
    </w:p>
    <w:p>
      <w:pPr>
        <w:pStyle w:val="Heading1"/>
        <w:spacing w:after="150" w:before="300"/>
      </w:pPr>
      <w:r>
        <w:t xml:space="preserve">7. Optimal Number of Clusters</w:t>
      </w:r>
    </w:p>
    <w:p>
      <w:pPr>
        <w:spacing w:after="150"/>
        <w:jc w:val="both"/>
      </w:pPr>
      <w:r>
        <w:t xml:space="preserve">Rather than visually estimating the 'elbow' point, the optimal k was identified programmatically: Within-Cluster Sum of Squares (WCSS) was computed for k = 2 to 10, and the KneeLocator algorithm (kneed library) located the point of maximum curvature.</w:t>
      </w:r>
    </w:p>
    <w:p>
      <w:pPr>
        <w:spacing w:after="150"/>
        <w:jc w:val="both"/>
      </w:pPr>
      <w:r>
        <w:t xml:space="preserve">Result: optimal k = 4 — an exact match with the reference paper's independently reported result, despite differences in raw data size and intermediate cleaning counts.</w:t>
      </w:r>
    </w:p>
    <w:p>
      <w:pPr>
        <w:pStyle w:val="Heading1"/>
        <w:spacing w:after="150" w:before="300"/>
      </w:pPr>
      <w:r>
        <w:t xml:space="preserve">8. K-Means Clustering and Evaluation</w:t>
      </w:r>
    </w:p>
    <w:p>
      <w:pPr>
        <w:spacing w:after="150"/>
        <w:jc w:val="both"/>
      </w:pPr>
      <w:r>
        <w:t xml:space="preserve">K-Means (k = 4, k-means++ initialisation) was fit on the standardised, Box-Cox-transformed RFM features.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2E5B8A" w:val="clear"/>
            <w:tcMar>
              <w:top w:type="dxa" w:w="100"/>
              <w:left w:type="dxa" w:w="120"/>
              <w:bottom w:type="dxa" w:w="100"/>
              <w:right w:type="dxa" w:w="120"/>
            </w:tcMar>
          </w:tcPr>
          <w:p>
            <w:r>
              <w:rPr>
                <w:b/>
                <w:bCs/>
                <w:color w:val="FFFFFF"/>
                <w:sz w:val="20"/>
                <w:szCs w:val="20"/>
              </w:rPr>
              <w:t xml:space="preserve">Metric</w:t>
            </w:r>
          </w:p>
        </w:tc>
        <w:tc>
          <w:tcPr>
            <w:tcW w:type="dxa" w:w="4650"/>
            <w:shd w:fill="2E5B8A" w:val="clear"/>
            <w:tcMar>
              <w:top w:type="dxa" w:w="100"/>
              <w:left w:type="dxa" w:w="120"/>
              <w:bottom w:type="dxa" w:w="100"/>
              <w:right w:type="dxa" w:w="120"/>
            </w:tcMar>
          </w:tcPr>
          <w:p>
            <w:r>
              <w:rPr>
                <w:b/>
                <w:bCs/>
                <w:color w:val="FFFFFF"/>
                <w:sz w:val="20"/>
                <w:szCs w:val="20"/>
              </w:rPr>
              <w:t xml:space="preserve">Value</w:t>
            </w:r>
          </w:p>
        </w:tc>
      </w:tr>
      <w:tr>
        <w:tc>
          <w:tcPr>
            <w:tcW w:type="dxa" w:w="4650"/>
            <w:tcMar>
              <w:top w:type="dxa" w:w="100"/>
              <w:left w:type="dxa" w:w="120"/>
              <w:bottom w:type="dxa" w:w="100"/>
              <w:right w:type="dxa" w:w="120"/>
            </w:tcMar>
          </w:tcPr>
          <w:p>
            <w:r>
              <w:rPr>
                <w:b w:val="false"/>
                <w:bCs w:val="false"/>
                <w:color w:val="000000"/>
                <w:sz w:val="20"/>
                <w:szCs w:val="20"/>
              </w:rPr>
              <w:t xml:space="preserve">Number of clusters</w:t>
            </w:r>
          </w:p>
        </w:tc>
        <w:tc>
          <w:tcPr>
            <w:tcW w:type="dxa" w:w="4650"/>
            <w:tcMar>
              <w:top w:type="dxa" w:w="100"/>
              <w:left w:type="dxa" w:w="120"/>
              <w:bottom w:type="dxa" w:w="100"/>
              <w:right w:type="dxa" w:w="120"/>
            </w:tcMar>
          </w:tcPr>
          <w:p>
            <w:r>
              <w:rPr>
                <w:b w:val="false"/>
                <w:bCs w:val="false"/>
                <w:color w:val="000000"/>
                <w:sz w:val="20"/>
                <w:szCs w:val="20"/>
              </w:rPr>
              <w:t xml:space="preserve">4</w:t>
            </w:r>
          </w:p>
        </w:tc>
      </w:tr>
      <w:tr>
        <w:tc>
          <w:tcPr>
            <w:tcW w:type="dxa" w:w="4650"/>
            <w:shd w:fill="EAF1F8" w:val="clear"/>
            <w:tcMar>
              <w:top w:type="dxa" w:w="100"/>
              <w:left w:type="dxa" w:w="120"/>
              <w:bottom w:type="dxa" w:w="100"/>
              <w:right w:type="dxa" w:w="120"/>
            </w:tcMar>
          </w:tcPr>
          <w:p>
            <w:r>
              <w:rPr>
                <w:b w:val="false"/>
                <w:bCs w:val="false"/>
                <w:color w:val="000000"/>
                <w:sz w:val="20"/>
                <w:szCs w:val="20"/>
              </w:rPr>
              <w:t xml:space="preserve">Silhouette Score</w:t>
            </w:r>
          </w:p>
        </w:tc>
        <w:tc>
          <w:tcPr>
            <w:tcW w:type="dxa" w:w="4650"/>
            <w:shd w:fill="EAF1F8" w:val="clear"/>
            <w:tcMar>
              <w:top w:type="dxa" w:w="100"/>
              <w:left w:type="dxa" w:w="120"/>
              <w:bottom w:type="dxa" w:w="100"/>
              <w:right w:type="dxa" w:w="120"/>
            </w:tcMar>
          </w:tcPr>
          <w:p>
            <w:r>
              <w:rPr>
                <w:b w:val="false"/>
                <w:bCs w:val="false"/>
                <w:color w:val="000000"/>
                <w:sz w:val="20"/>
                <w:szCs w:val="20"/>
              </w:rPr>
              <w:t xml:space="preserve">0.379</w:t>
            </w:r>
          </w:p>
        </w:tc>
      </w:tr>
      <w:tr>
        <w:tc>
          <w:tcPr>
            <w:tcW w:type="dxa" w:w="4650"/>
            <w:tcMar>
              <w:top w:type="dxa" w:w="100"/>
              <w:left w:type="dxa" w:w="120"/>
              <w:bottom w:type="dxa" w:w="100"/>
              <w:right w:type="dxa" w:w="120"/>
            </w:tcMar>
          </w:tcPr>
          <w:p>
            <w:r>
              <w:rPr>
                <w:b w:val="false"/>
                <w:bCs w:val="false"/>
                <w:color w:val="000000"/>
                <w:sz w:val="20"/>
                <w:szCs w:val="20"/>
              </w:rPr>
              <w:t xml:space="preserve">Customers segmented</w:t>
            </w:r>
          </w:p>
        </w:tc>
        <w:tc>
          <w:tcPr>
            <w:tcW w:type="dxa" w:w="4650"/>
            <w:tcMar>
              <w:top w:type="dxa" w:w="100"/>
              <w:left w:type="dxa" w:w="120"/>
              <w:bottom w:type="dxa" w:w="100"/>
              <w:right w:type="dxa" w:w="120"/>
            </w:tcMar>
          </w:tcPr>
          <w:p>
            <w:r>
              <w:rPr>
                <w:b w:val="false"/>
                <w:bCs w:val="false"/>
                <w:color w:val="000000"/>
                <w:sz w:val="20"/>
                <w:szCs w:val="20"/>
              </w:rPr>
              <w:t xml:space="preserve">5,123</w:t>
            </w:r>
          </w:p>
        </w:tc>
      </w:tr>
    </w:tbl>
    <w:p>
      <w:pPr>
        <w:spacing w:after="200"/>
      </w:pPr>
    </w:p>
    <w:p>
      <w:pPr>
        <w:spacing w:after="150"/>
        <w:jc w:val="both"/>
      </w:pPr>
      <w:r>
        <w:t xml:space="preserve">A Silhouette Score of 0.38 indicates moderate, positive cluster separation — reasonable for real-world behavioural data, where customer segments naturally exist on a continuous spectrum rather than as cleanly separated groups.</w:t>
      </w:r>
    </w:p>
    <w:p>
      <w:pPr>
        <w:spacing w:after="150"/>
        <w:jc w:val="both"/>
      </w:pPr>
      <w:r>
        <w:t xml:space="preserve">Clusters were visualised in two ways: a 2D PCA projection (the first two principal components captured 93.6% of total variance, and showed four visually distinct regions), and a 3D scatter plot on the raw Recency/Frequency/Monetary axes, confirming that the clusters correspond to interpretable combinations of the three RFM dimensions.</w:t>
      </w:r>
    </w:p>
    <w:p>
      <w:pPr>
        <w:pStyle w:val="Heading1"/>
        <w:spacing w:after="150" w:before="300"/>
      </w:pPr>
      <w:r>
        <w:t xml:space="preserve">9. Cluster Profiles and Business Segments</w:t>
      </w:r>
    </w:p>
    <w:p>
      <w:pPr>
        <w:spacing w:after="150"/>
        <w:jc w:val="both"/>
      </w:pPr>
      <w:r>
        <w:t xml:space="preserve">Each cluster's average RFM values were computed and translated into a business-meaningful label based on the observed characteristics — not assigned in advance.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700"/>
        <w:gridCol w:w="1450"/>
        <w:gridCol w:w="1250"/>
      </w:tblGrid>
      <w:tr>
        <w:trPr>
          <w:tblHeader/>
        </w:trPr>
        <w:tc>
          <w:tcPr>
            <w:tcW w:type="dxa" w:w="2600"/>
            <w:shd w:fill="2E5B8A" w:val="clear"/>
            <w:tcMar>
              <w:top w:type="dxa" w:w="100"/>
              <w:left w:type="dxa" w:w="120"/>
              <w:bottom w:type="dxa" w:w="100"/>
              <w:right w:type="dxa" w:w="120"/>
            </w:tcMar>
          </w:tcPr>
          <w:p>
            <w:r>
              <w:rPr>
                <w:b/>
                <w:bCs/>
                <w:color w:val="FFFFFF"/>
                <w:sz w:val="20"/>
                <w:szCs w:val="20"/>
              </w:rPr>
              <w:t xml:space="preserve">Segment</w:t>
            </w:r>
          </w:p>
        </w:tc>
        <w:tc>
          <w:tcPr>
            <w:tcW w:type="dxa" w:w="1600"/>
            <w:shd w:fill="2E5B8A" w:val="clear"/>
            <w:tcMar>
              <w:top w:type="dxa" w:w="100"/>
              <w:left w:type="dxa" w:w="120"/>
              <w:bottom w:type="dxa" w:w="100"/>
              <w:right w:type="dxa" w:w="120"/>
            </w:tcMar>
          </w:tcPr>
          <w:p>
            <w:r>
              <w:rPr>
                <w:b/>
                <w:bCs/>
                <w:color w:val="FFFFFF"/>
                <w:sz w:val="20"/>
                <w:szCs w:val="20"/>
              </w:rPr>
              <w:t xml:space="preserve">Avg. Recency (days)</w:t>
            </w:r>
          </w:p>
        </w:tc>
        <w:tc>
          <w:tcPr>
            <w:tcW w:type="dxa" w:w="1400"/>
            <w:shd w:fill="2E5B8A" w:val="clear"/>
            <w:tcMar>
              <w:top w:type="dxa" w:w="100"/>
              <w:left w:type="dxa" w:w="120"/>
              <w:bottom w:type="dxa" w:w="100"/>
              <w:right w:type="dxa" w:w="120"/>
            </w:tcMar>
          </w:tcPr>
          <w:p>
            <w:r>
              <w:rPr>
                <w:b/>
                <w:bCs/>
                <w:color w:val="FFFFFF"/>
                <w:sz w:val="20"/>
                <w:szCs w:val="20"/>
              </w:rPr>
              <w:t xml:space="preserve">Avg. Frequency</w:t>
            </w:r>
          </w:p>
        </w:tc>
        <w:tc>
          <w:tcPr>
            <w:tcW w:type="dxa" w:w="1700"/>
            <w:shd w:fill="2E5B8A" w:val="clear"/>
            <w:tcMar>
              <w:top w:type="dxa" w:w="100"/>
              <w:left w:type="dxa" w:w="120"/>
              <w:bottom w:type="dxa" w:w="100"/>
              <w:right w:type="dxa" w:w="120"/>
            </w:tcMar>
          </w:tcPr>
          <w:p>
            <w:r>
              <w:rPr>
                <w:b/>
                <w:bCs/>
                <w:color w:val="FFFFFF"/>
                <w:sz w:val="20"/>
                <w:szCs w:val="20"/>
              </w:rPr>
              <w:t xml:space="preserve">Avg. Monetary (£)</w:t>
            </w:r>
          </w:p>
        </w:tc>
        <w:tc>
          <w:tcPr>
            <w:tcW w:type="dxa" w:w="1450"/>
            <w:shd w:fill="2E5B8A" w:val="clear"/>
            <w:tcMar>
              <w:top w:type="dxa" w:w="100"/>
              <w:left w:type="dxa" w:w="120"/>
              <w:bottom w:type="dxa" w:w="100"/>
              <w:right w:type="dxa" w:w="120"/>
            </w:tcMar>
          </w:tcPr>
          <w:p>
            <w:r>
              <w:rPr>
                <w:b/>
                <w:bCs/>
                <w:color w:val="FFFFFF"/>
                <w:sz w:val="20"/>
                <w:szCs w:val="20"/>
              </w:rPr>
              <w:t xml:space="preserve">Customers</w:t>
            </w:r>
          </w:p>
        </w:tc>
        <w:tc>
          <w:tcPr>
            <w:tcW w:type="dxa" w:w="1250"/>
            <w:shd w:fill="2E5B8A" w:val="clear"/>
            <w:tcMar>
              <w:top w:type="dxa" w:w="100"/>
              <w:left w:type="dxa" w:w="120"/>
              <w:bottom w:type="dxa" w:w="100"/>
              <w:right w:type="dxa" w:w="120"/>
            </w:tcMar>
          </w:tcPr>
          <w:p>
            <w:r>
              <w:rPr>
                <w:b/>
                <w:bCs/>
                <w:color w:val="FFFFFF"/>
                <w:sz w:val="20"/>
                <w:szCs w:val="20"/>
              </w:rPr>
              <w:t xml:space="preserve">% of Total</w:t>
            </w:r>
          </w:p>
        </w:tc>
      </w:tr>
      <w:tr>
        <w:tc>
          <w:tcPr>
            <w:tcW w:type="dxa" w:w="2600"/>
            <w:tcMar>
              <w:top w:type="dxa" w:w="100"/>
              <w:left w:type="dxa" w:w="120"/>
              <w:bottom w:type="dxa" w:w="100"/>
              <w:right w:type="dxa" w:w="120"/>
            </w:tcMar>
          </w:tcPr>
          <w:p>
            <w:r>
              <w:rPr>
                <w:b w:val="false"/>
                <w:bCs w:val="false"/>
                <w:color w:val="000000"/>
                <w:sz w:val="20"/>
                <w:szCs w:val="20"/>
              </w:rPr>
              <w:t xml:space="preserve">Champions</w:t>
            </w:r>
          </w:p>
        </w:tc>
        <w:tc>
          <w:tcPr>
            <w:tcW w:type="dxa" w:w="1600"/>
            <w:tcMar>
              <w:top w:type="dxa" w:w="100"/>
              <w:left w:type="dxa" w:w="120"/>
              <w:bottom w:type="dxa" w:w="100"/>
              <w:right w:type="dxa" w:w="120"/>
            </w:tcMar>
          </w:tcPr>
          <w:p>
            <w:r>
              <w:rPr>
                <w:b w:val="false"/>
                <w:bCs w:val="false"/>
                <w:color w:val="000000"/>
                <w:sz w:val="20"/>
                <w:szCs w:val="20"/>
              </w:rPr>
              <w:t xml:space="preserve">41.6</w:t>
            </w:r>
          </w:p>
        </w:tc>
        <w:tc>
          <w:tcPr>
            <w:tcW w:type="dxa" w:w="1400"/>
            <w:tcMar>
              <w:top w:type="dxa" w:w="100"/>
              <w:left w:type="dxa" w:w="120"/>
              <w:bottom w:type="dxa" w:w="100"/>
              <w:right w:type="dxa" w:w="120"/>
            </w:tcMar>
          </w:tcPr>
          <w:p>
            <w:r>
              <w:rPr>
                <w:b w:val="false"/>
                <w:bCs w:val="false"/>
                <w:color w:val="000000"/>
                <w:sz w:val="20"/>
                <w:szCs w:val="20"/>
              </w:rPr>
              <w:t xml:space="preserve">8.29</w:t>
            </w:r>
          </w:p>
        </w:tc>
        <w:tc>
          <w:tcPr>
            <w:tcW w:type="dxa" w:w="1700"/>
            <w:tcMar>
              <w:top w:type="dxa" w:w="100"/>
              <w:left w:type="dxa" w:w="120"/>
              <w:bottom w:type="dxa" w:w="100"/>
              <w:right w:type="dxa" w:w="120"/>
            </w:tcMar>
          </w:tcPr>
          <w:p>
            <w:r>
              <w:rPr>
                <w:b w:val="false"/>
                <w:bCs w:val="false"/>
                <w:color w:val="000000"/>
                <w:sz w:val="20"/>
                <w:szCs w:val="20"/>
              </w:rPr>
              <w:t xml:space="preserve">2,271.04</w:t>
            </w:r>
          </w:p>
        </w:tc>
        <w:tc>
          <w:tcPr>
            <w:tcW w:type="dxa" w:w="1450"/>
            <w:tcMar>
              <w:top w:type="dxa" w:w="100"/>
              <w:left w:type="dxa" w:w="120"/>
              <w:bottom w:type="dxa" w:w="100"/>
              <w:right w:type="dxa" w:w="120"/>
            </w:tcMar>
          </w:tcPr>
          <w:p>
            <w:r>
              <w:rPr>
                <w:b w:val="false"/>
                <w:bCs w:val="false"/>
                <w:color w:val="000000"/>
                <w:sz w:val="20"/>
                <w:szCs w:val="20"/>
              </w:rPr>
              <w:t xml:space="preserve">1,408</w:t>
            </w:r>
          </w:p>
        </w:tc>
        <w:tc>
          <w:tcPr>
            <w:tcW w:type="dxa" w:w="1250"/>
            <w:tcMar>
              <w:top w:type="dxa" w:w="100"/>
              <w:left w:type="dxa" w:w="120"/>
              <w:bottom w:type="dxa" w:w="100"/>
              <w:right w:type="dxa" w:w="120"/>
            </w:tcMar>
          </w:tcPr>
          <w:p>
            <w:r>
              <w:rPr>
                <w:b w:val="false"/>
                <w:bCs w:val="false"/>
                <w:color w:val="000000"/>
                <w:sz w:val="20"/>
                <w:szCs w:val="20"/>
              </w:rPr>
              <w:t xml:space="preserve">27.5%</w:t>
            </w:r>
          </w:p>
        </w:tc>
      </w:tr>
      <w:tr>
        <w:tc>
          <w:tcPr>
            <w:tcW w:type="dxa" w:w="2600"/>
            <w:shd w:fill="EAF1F8" w:val="clear"/>
            <w:tcMar>
              <w:top w:type="dxa" w:w="100"/>
              <w:left w:type="dxa" w:w="120"/>
              <w:bottom w:type="dxa" w:w="100"/>
              <w:right w:type="dxa" w:w="120"/>
            </w:tcMar>
          </w:tcPr>
          <w:p>
            <w:r>
              <w:rPr>
                <w:b w:val="false"/>
                <w:bCs w:val="false"/>
                <w:color w:val="000000"/>
                <w:sz w:val="20"/>
                <w:szCs w:val="20"/>
              </w:rPr>
              <w:t xml:space="preserve">At Risk</w:t>
            </w:r>
          </w:p>
        </w:tc>
        <w:tc>
          <w:tcPr>
            <w:tcW w:type="dxa" w:w="1600"/>
            <w:shd w:fill="EAF1F8" w:val="clear"/>
            <w:tcMar>
              <w:top w:type="dxa" w:w="100"/>
              <w:left w:type="dxa" w:w="120"/>
              <w:bottom w:type="dxa" w:w="100"/>
              <w:right w:type="dxa" w:w="120"/>
            </w:tcMar>
          </w:tcPr>
          <w:p>
            <w:r>
              <w:rPr>
                <w:b w:val="false"/>
                <w:bCs w:val="false"/>
                <w:color w:val="000000"/>
                <w:sz w:val="20"/>
                <w:szCs w:val="20"/>
              </w:rPr>
              <w:t xml:space="preserve">313.3</w:t>
            </w:r>
          </w:p>
        </w:tc>
        <w:tc>
          <w:tcPr>
            <w:tcW w:type="dxa" w:w="1400"/>
            <w:shd w:fill="EAF1F8" w:val="clear"/>
            <w:tcMar>
              <w:top w:type="dxa" w:w="100"/>
              <w:left w:type="dxa" w:w="120"/>
              <w:bottom w:type="dxa" w:w="100"/>
              <w:right w:type="dxa" w:w="120"/>
            </w:tcMar>
          </w:tcPr>
          <w:p>
            <w:r>
              <w:rPr>
                <w:b w:val="false"/>
                <w:bCs w:val="false"/>
                <w:color w:val="000000"/>
                <w:sz w:val="20"/>
                <w:szCs w:val="20"/>
              </w:rPr>
              <w:t xml:space="preserve">4.46</w:t>
            </w:r>
          </w:p>
        </w:tc>
        <w:tc>
          <w:tcPr>
            <w:tcW w:type="dxa" w:w="1700"/>
            <w:shd w:fill="EAF1F8" w:val="clear"/>
            <w:tcMar>
              <w:top w:type="dxa" w:w="100"/>
              <w:left w:type="dxa" w:w="120"/>
              <w:bottom w:type="dxa" w:w="100"/>
              <w:right w:type="dxa" w:w="120"/>
            </w:tcMar>
          </w:tcPr>
          <w:p>
            <w:r>
              <w:rPr>
                <w:b w:val="false"/>
                <w:bCs w:val="false"/>
                <w:color w:val="000000"/>
                <w:sz w:val="20"/>
                <w:szCs w:val="20"/>
              </w:rPr>
              <w:t xml:space="preserve">1,191.13</w:t>
            </w:r>
          </w:p>
        </w:tc>
        <w:tc>
          <w:tcPr>
            <w:tcW w:type="dxa" w:w="1450"/>
            <w:shd w:fill="EAF1F8" w:val="clear"/>
            <w:tcMar>
              <w:top w:type="dxa" w:w="100"/>
              <w:left w:type="dxa" w:w="120"/>
              <w:bottom w:type="dxa" w:w="100"/>
              <w:right w:type="dxa" w:w="120"/>
            </w:tcMar>
          </w:tcPr>
          <w:p>
            <w:r>
              <w:rPr>
                <w:b w:val="false"/>
                <w:bCs w:val="false"/>
                <w:color w:val="000000"/>
                <w:sz w:val="20"/>
                <w:szCs w:val="20"/>
              </w:rPr>
              <w:t xml:space="preserve">1,140</w:t>
            </w:r>
          </w:p>
        </w:tc>
        <w:tc>
          <w:tcPr>
            <w:tcW w:type="dxa" w:w="1250"/>
            <w:shd w:fill="EAF1F8" w:val="clear"/>
            <w:tcMar>
              <w:top w:type="dxa" w:w="100"/>
              <w:left w:type="dxa" w:w="120"/>
              <w:bottom w:type="dxa" w:w="100"/>
              <w:right w:type="dxa" w:w="120"/>
            </w:tcMar>
          </w:tcPr>
          <w:p>
            <w:r>
              <w:rPr>
                <w:b w:val="false"/>
                <w:bCs w:val="false"/>
                <w:color w:val="000000"/>
                <w:sz w:val="20"/>
                <w:szCs w:val="20"/>
              </w:rPr>
              <w:t xml:space="preserve">22.3%</w:t>
            </w:r>
          </w:p>
        </w:tc>
      </w:tr>
      <w:tr>
        <w:tc>
          <w:tcPr>
            <w:tcW w:type="dxa" w:w="2600"/>
            <w:tcMar>
              <w:top w:type="dxa" w:w="100"/>
              <w:left w:type="dxa" w:w="120"/>
              <w:bottom w:type="dxa" w:w="100"/>
              <w:right w:type="dxa" w:w="120"/>
            </w:tcMar>
          </w:tcPr>
          <w:p>
            <w:r>
              <w:rPr>
                <w:b w:val="false"/>
                <w:bCs w:val="false"/>
                <w:color w:val="000000"/>
                <w:sz w:val="20"/>
                <w:szCs w:val="20"/>
              </w:rPr>
              <w:t xml:space="preserve">New / Occasional</w:t>
            </w:r>
          </w:p>
        </w:tc>
        <w:tc>
          <w:tcPr>
            <w:tcW w:type="dxa" w:w="1600"/>
            <w:tcMar>
              <w:top w:type="dxa" w:w="100"/>
              <w:left w:type="dxa" w:w="120"/>
              <w:bottom w:type="dxa" w:w="100"/>
              <w:right w:type="dxa" w:w="120"/>
            </w:tcMar>
          </w:tcPr>
          <w:p>
            <w:r>
              <w:rPr>
                <w:b w:val="false"/>
                <w:bCs w:val="false"/>
                <w:color w:val="000000"/>
                <w:sz w:val="20"/>
                <w:szCs w:val="20"/>
              </w:rPr>
              <w:t xml:space="preserve">45.6</w:t>
            </w:r>
          </w:p>
        </w:tc>
        <w:tc>
          <w:tcPr>
            <w:tcW w:type="dxa" w:w="1400"/>
            <w:tcMar>
              <w:top w:type="dxa" w:w="100"/>
              <w:left w:type="dxa" w:w="120"/>
              <w:bottom w:type="dxa" w:w="100"/>
              <w:right w:type="dxa" w:w="120"/>
            </w:tcMar>
          </w:tcPr>
          <w:p>
            <w:r>
              <w:rPr>
                <w:b w:val="false"/>
                <w:bCs w:val="false"/>
                <w:color w:val="000000"/>
                <w:sz w:val="20"/>
                <w:szCs w:val="20"/>
              </w:rPr>
              <w:t xml:space="preserve">2.19</w:t>
            </w:r>
          </w:p>
        </w:tc>
        <w:tc>
          <w:tcPr>
            <w:tcW w:type="dxa" w:w="1700"/>
            <w:tcMar>
              <w:top w:type="dxa" w:w="100"/>
              <w:left w:type="dxa" w:w="120"/>
              <w:bottom w:type="dxa" w:w="100"/>
              <w:right w:type="dxa" w:w="120"/>
            </w:tcMar>
          </w:tcPr>
          <w:p>
            <w:r>
              <w:rPr>
                <w:b w:val="false"/>
                <w:bCs w:val="false"/>
                <w:color w:val="000000"/>
                <w:sz w:val="20"/>
                <w:szCs w:val="20"/>
              </w:rPr>
              <w:t xml:space="preserve">512.26</w:t>
            </w:r>
          </w:p>
        </w:tc>
        <w:tc>
          <w:tcPr>
            <w:tcW w:type="dxa" w:w="1450"/>
            <w:tcMar>
              <w:top w:type="dxa" w:w="100"/>
              <w:left w:type="dxa" w:w="120"/>
              <w:bottom w:type="dxa" w:w="100"/>
              <w:right w:type="dxa" w:w="120"/>
            </w:tcMar>
          </w:tcPr>
          <w:p>
            <w:r>
              <w:rPr>
                <w:b w:val="false"/>
                <w:bCs w:val="false"/>
                <w:color w:val="000000"/>
                <w:sz w:val="20"/>
                <w:szCs w:val="20"/>
              </w:rPr>
              <w:t xml:space="preserve">1,083</w:t>
            </w:r>
          </w:p>
        </w:tc>
        <w:tc>
          <w:tcPr>
            <w:tcW w:type="dxa" w:w="1250"/>
            <w:tcMar>
              <w:top w:type="dxa" w:w="100"/>
              <w:left w:type="dxa" w:w="120"/>
              <w:bottom w:type="dxa" w:w="100"/>
              <w:right w:type="dxa" w:w="120"/>
            </w:tcMar>
          </w:tcPr>
          <w:p>
            <w:r>
              <w:rPr>
                <w:b w:val="false"/>
                <w:bCs w:val="false"/>
                <w:color w:val="000000"/>
                <w:sz w:val="20"/>
                <w:szCs w:val="20"/>
              </w:rPr>
              <w:t xml:space="preserve">21.1%</w:t>
            </w:r>
          </w:p>
        </w:tc>
      </w:tr>
      <w:tr>
        <w:tc>
          <w:tcPr>
            <w:tcW w:type="dxa" w:w="2600"/>
            <w:shd w:fill="EAF1F8" w:val="clear"/>
            <w:tcMar>
              <w:top w:type="dxa" w:w="100"/>
              <w:left w:type="dxa" w:w="120"/>
              <w:bottom w:type="dxa" w:w="100"/>
              <w:right w:type="dxa" w:w="120"/>
            </w:tcMar>
          </w:tcPr>
          <w:p>
            <w:r>
              <w:rPr>
                <w:b w:val="false"/>
                <w:bCs w:val="false"/>
                <w:color w:val="000000"/>
                <w:sz w:val="20"/>
                <w:szCs w:val="20"/>
              </w:rPr>
              <w:t xml:space="preserve">Low Engagement</w:t>
            </w:r>
          </w:p>
        </w:tc>
        <w:tc>
          <w:tcPr>
            <w:tcW w:type="dxa" w:w="1600"/>
            <w:shd w:fill="EAF1F8" w:val="clear"/>
            <w:tcMar>
              <w:top w:type="dxa" w:w="100"/>
              <w:left w:type="dxa" w:w="120"/>
              <w:bottom w:type="dxa" w:w="100"/>
              <w:right w:type="dxa" w:w="120"/>
            </w:tcMar>
          </w:tcPr>
          <w:p>
            <w:r>
              <w:rPr>
                <w:b w:val="false"/>
                <w:bCs w:val="false"/>
                <w:color w:val="000000"/>
                <w:sz w:val="20"/>
                <w:szCs w:val="20"/>
              </w:rPr>
              <w:t xml:space="preserve">441.5</w:t>
            </w:r>
          </w:p>
        </w:tc>
        <w:tc>
          <w:tcPr>
            <w:tcW w:type="dxa" w:w="1400"/>
            <w:shd w:fill="EAF1F8" w:val="clear"/>
            <w:tcMar>
              <w:top w:type="dxa" w:w="100"/>
              <w:left w:type="dxa" w:w="120"/>
              <w:bottom w:type="dxa" w:w="100"/>
              <w:right w:type="dxa" w:w="120"/>
            </w:tcMar>
          </w:tcPr>
          <w:p>
            <w:r>
              <w:rPr>
                <w:b w:val="false"/>
                <w:bCs w:val="false"/>
                <w:color w:val="000000"/>
                <w:sz w:val="20"/>
                <w:szCs w:val="20"/>
              </w:rPr>
              <w:t xml:space="preserve">1.31</w:t>
            </w:r>
          </w:p>
        </w:tc>
        <w:tc>
          <w:tcPr>
            <w:tcW w:type="dxa" w:w="1700"/>
            <w:shd w:fill="EAF1F8" w:val="clear"/>
            <w:tcMar>
              <w:top w:type="dxa" w:w="100"/>
              <w:left w:type="dxa" w:w="120"/>
              <w:bottom w:type="dxa" w:w="100"/>
              <w:right w:type="dxa" w:w="120"/>
            </w:tcMar>
          </w:tcPr>
          <w:p>
            <w:r>
              <w:rPr>
                <w:b w:val="false"/>
                <w:bCs w:val="false"/>
                <w:color w:val="000000"/>
                <w:sz w:val="20"/>
                <w:szCs w:val="20"/>
              </w:rPr>
              <w:t xml:space="preserve">272.58</w:t>
            </w:r>
          </w:p>
        </w:tc>
        <w:tc>
          <w:tcPr>
            <w:tcW w:type="dxa" w:w="1450"/>
            <w:shd w:fill="EAF1F8" w:val="clear"/>
            <w:tcMar>
              <w:top w:type="dxa" w:w="100"/>
              <w:left w:type="dxa" w:w="120"/>
              <w:bottom w:type="dxa" w:w="100"/>
              <w:right w:type="dxa" w:w="120"/>
            </w:tcMar>
          </w:tcPr>
          <w:p>
            <w:r>
              <w:rPr>
                <w:b w:val="false"/>
                <w:bCs w:val="false"/>
                <w:color w:val="000000"/>
                <w:sz w:val="20"/>
                <w:szCs w:val="20"/>
              </w:rPr>
              <w:t xml:space="preserve">1,492</w:t>
            </w:r>
          </w:p>
        </w:tc>
        <w:tc>
          <w:tcPr>
            <w:tcW w:type="dxa" w:w="1250"/>
            <w:shd w:fill="EAF1F8" w:val="clear"/>
            <w:tcMar>
              <w:top w:type="dxa" w:w="100"/>
              <w:left w:type="dxa" w:w="120"/>
              <w:bottom w:type="dxa" w:w="100"/>
              <w:right w:type="dxa" w:w="120"/>
            </w:tcMar>
          </w:tcPr>
          <w:p>
            <w:r>
              <w:rPr>
                <w:b w:val="false"/>
                <w:bCs w:val="false"/>
                <w:color w:val="000000"/>
                <w:sz w:val="20"/>
                <w:szCs w:val="20"/>
              </w:rPr>
              <w:t xml:space="preserve">29.1%</w:t>
            </w:r>
          </w:p>
        </w:tc>
      </w:tr>
    </w:tbl>
    <w:p>
      <w:pPr>
        <w:pStyle w:val="Heading1"/>
        <w:spacing w:after="150" w:before="300"/>
      </w:pPr>
      <w:r>
        <w:t xml:space="preserve">10. Segment-Wise Business Recommendations</w:t>
      </w:r>
    </w:p>
    <w:p>
      <w:pPr>
        <w:pStyle w:val="Heading2"/>
        <w:spacing w:after="120" w:before="250"/>
      </w:pPr>
      <w:r>
        <w:t xml:space="preserve">Champions (1,408 customers)</w:t>
      </w:r>
    </w:p>
    <w:p>
      <w:pPr>
        <w:pStyle w:val="ListParagraph"/>
        <w:numPr>
          <w:ilvl w:val="0"/>
          <w:numId w:val="2"/>
        </w:numPr>
        <w:spacing w:after="80"/>
      </w:pPr>
      <w:r>
        <w:t xml:space="preserve">Loyalty rewards and early access to new products/sales</w:t>
      </w:r>
    </w:p>
    <w:p>
      <w:pPr>
        <w:pStyle w:val="ListParagraph"/>
        <w:numPr>
          <w:ilvl w:val="0"/>
          <w:numId w:val="2"/>
        </w:numPr>
        <w:spacing w:after="80"/>
      </w:pPr>
      <w:r>
        <w:t xml:space="preserve">Premium/cross-sell recommendations for high-value items</w:t>
      </w:r>
    </w:p>
    <w:p>
      <w:pPr>
        <w:pStyle w:val="ListParagraph"/>
        <w:numPr>
          <w:ilvl w:val="0"/>
          <w:numId w:val="2"/>
        </w:numPr>
        <w:spacing w:after="80"/>
      </w:pPr>
      <w:r>
        <w:t xml:space="preserve">Personalised recognition communication — highest priority for retention</w:t>
      </w:r>
    </w:p>
    <w:p>
      <w:pPr>
        <w:pStyle w:val="Heading2"/>
        <w:spacing w:after="120" w:before="250"/>
      </w:pPr>
      <w:r>
        <w:t xml:space="preserve">At Risk (1,140 customers)</w:t>
      </w:r>
    </w:p>
    <w:p>
      <w:pPr>
        <w:pStyle w:val="ListParagraph"/>
        <w:numPr>
          <w:ilvl w:val="0"/>
          <w:numId w:val="2"/>
        </w:numPr>
        <w:spacing w:after="80"/>
      </w:pPr>
      <w:r>
        <w:t xml:space="preserve">Win-back campaigns with personalised discounts</w:t>
      </w:r>
    </w:p>
    <w:p>
      <w:pPr>
        <w:pStyle w:val="ListParagraph"/>
        <w:numPr>
          <w:ilvl w:val="0"/>
          <w:numId w:val="2"/>
        </w:numPr>
        <w:spacing w:after="80"/>
      </w:pPr>
      <w:r>
        <w:t xml:space="preserve">Reminder emails referencing past purchase history</w:t>
      </w:r>
    </w:p>
    <w:p>
      <w:pPr>
        <w:pStyle w:val="ListParagraph"/>
        <w:numPr>
          <w:ilvl w:val="0"/>
          <w:numId w:val="2"/>
        </w:numPr>
        <w:spacing w:after="80"/>
      </w:pPr>
      <w:r>
        <w:t xml:space="preserve">Optional feedback survey to understand disengagement</w:t>
      </w:r>
    </w:p>
    <w:p>
      <w:pPr>
        <w:pStyle w:val="Heading2"/>
        <w:spacing w:after="120" w:before="250"/>
      </w:pPr>
      <w:r>
        <w:t xml:space="preserve">New / Occasional (1,083 customers)</w:t>
      </w:r>
    </w:p>
    <w:p>
      <w:pPr>
        <w:pStyle w:val="ListParagraph"/>
        <w:numPr>
          <w:ilvl w:val="0"/>
          <w:numId w:val="2"/>
        </w:numPr>
        <w:spacing w:after="80"/>
      </w:pPr>
      <w:r>
        <w:t xml:space="preserve">Onboarding content and product education</w:t>
      </w:r>
    </w:p>
    <w:p>
      <w:pPr>
        <w:pStyle w:val="ListParagraph"/>
        <w:numPr>
          <w:ilvl w:val="0"/>
          <w:numId w:val="2"/>
        </w:numPr>
        <w:spacing w:after="80"/>
      </w:pPr>
      <w:r>
        <w:t xml:space="preserve">Cross-sell recommendations based on first purchase category</w:t>
      </w:r>
    </w:p>
    <w:p>
      <w:pPr>
        <w:pStyle w:val="ListParagraph"/>
        <w:numPr>
          <w:ilvl w:val="0"/>
          <w:numId w:val="2"/>
        </w:numPr>
        <w:spacing w:after="80"/>
      </w:pPr>
      <w:r>
        <w:t xml:space="preserve">Small second/third-purchase incentives to build habit</w:t>
      </w:r>
    </w:p>
    <w:p>
      <w:pPr>
        <w:pStyle w:val="Heading2"/>
        <w:spacing w:after="120" w:before="250"/>
      </w:pPr>
      <w:r>
        <w:t xml:space="preserve">Low Engagement (1,492 customers)</w:t>
      </w:r>
    </w:p>
    <w:p>
      <w:pPr>
        <w:pStyle w:val="ListParagraph"/>
        <w:numPr>
          <w:ilvl w:val="0"/>
          <w:numId w:val="2"/>
        </w:numPr>
        <w:spacing w:after="80"/>
      </w:pPr>
      <w:r>
        <w:t xml:space="preserve">Low-cost, broad reactivation messaging (no heavy discounting)</w:t>
      </w:r>
    </w:p>
    <w:p>
      <w:pPr>
        <w:pStyle w:val="ListParagraph"/>
        <w:numPr>
          <w:ilvl w:val="0"/>
          <w:numId w:val="2"/>
        </w:numPr>
        <w:spacing w:after="80"/>
      </w:pPr>
      <w:r>
        <w:t xml:space="preserve">Deprioritise if reactivation cost exceeds expected return</w:t>
      </w:r>
    </w:p>
    <w:p>
      <w:pPr>
        <w:pStyle w:val="ListParagraph"/>
        <w:numPr>
          <w:ilvl w:val="0"/>
          <w:numId w:val="2"/>
        </w:numPr>
        <w:spacing w:after="80"/>
      </w:pPr>
      <w:r>
        <w:t xml:space="preserve">Reallocate marketing budget toward At Risk and New segments</w:t>
      </w:r>
    </w:p>
    <w:p>
      <w:pPr>
        <w:pStyle w:val="Heading1"/>
        <w:spacing w:after="150" w:before="300"/>
      </w:pPr>
      <w:r>
        <w:t xml:space="preserve">11. Methodology Validation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00"/>
      </w:tblGrid>
      <w:tr>
        <w:trPr>
          <w:tblHeader/>
        </w:trPr>
        <w:tc>
          <w:tcPr>
            <w:tcW w:type="dxa" w:w="3000"/>
            <w:shd w:fill="2E5B8A" w:val="clear"/>
            <w:tcMar>
              <w:top w:type="dxa" w:w="100"/>
              <w:left w:type="dxa" w:w="120"/>
              <w:bottom w:type="dxa" w:w="100"/>
              <w:right w:type="dxa" w:w="120"/>
            </w:tcMar>
          </w:tcPr>
          <w:p>
            <w:r>
              <w:rPr>
                <w:b/>
                <w:bCs/>
                <w:color w:val="FFFFFF"/>
                <w:sz w:val="20"/>
                <w:szCs w:val="20"/>
              </w:rPr>
              <w:t xml:space="preserve">Checkpoint</w:t>
            </w:r>
          </w:p>
        </w:tc>
        <w:tc>
          <w:tcPr>
            <w:tcW w:type="dxa" w:w="2400"/>
            <w:shd w:fill="2E5B8A" w:val="clear"/>
            <w:tcMar>
              <w:top w:type="dxa" w:w="100"/>
              <w:left w:type="dxa" w:w="120"/>
              <w:bottom w:type="dxa" w:w="100"/>
              <w:right w:type="dxa" w:w="120"/>
            </w:tcMar>
          </w:tcPr>
          <w:p>
            <w:r>
              <w:rPr>
                <w:b/>
                <w:bCs/>
                <w:color w:val="FFFFFF"/>
                <w:sz w:val="20"/>
                <w:szCs w:val="20"/>
              </w:rPr>
              <w:t xml:space="preserve">Reference Paper</w:t>
            </w:r>
          </w:p>
        </w:tc>
        <w:tc>
          <w:tcPr>
            <w:tcW w:type="dxa" w:w="2400"/>
            <w:shd w:fill="2E5B8A" w:val="clear"/>
            <w:tcMar>
              <w:top w:type="dxa" w:w="100"/>
              <w:left w:type="dxa" w:w="120"/>
              <w:bottom w:type="dxa" w:w="100"/>
              <w:right w:type="dxa" w:w="120"/>
            </w:tcMar>
          </w:tcPr>
          <w:p>
            <w:r>
              <w:rPr>
                <w:b/>
                <w:bCs/>
                <w:color w:val="FFFFFF"/>
                <w:sz w:val="20"/>
                <w:szCs w:val="20"/>
              </w:rPr>
              <w:t xml:space="preserve">This Project</w:t>
            </w:r>
          </w:p>
        </w:tc>
        <w:tc>
          <w:tcPr>
            <w:tcW w:type="dxa" w:w="1500"/>
            <w:shd w:fill="2E5B8A" w:val="clear"/>
            <w:tcMar>
              <w:top w:type="dxa" w:w="100"/>
              <w:left w:type="dxa" w:w="120"/>
              <w:bottom w:type="dxa" w:w="100"/>
              <w:right w:type="dxa" w:w="120"/>
            </w:tcMar>
          </w:tcPr>
          <w:p>
            <w:r>
              <w:rPr>
                <w:b/>
                <w:bCs/>
                <w:color w:val="FFFFFF"/>
                <w:sz w:val="20"/>
                <w:szCs w:val="20"/>
              </w:rPr>
              <w:t xml:space="preserve">Status</w:t>
            </w:r>
          </w:p>
        </w:tc>
      </w:tr>
      <w:tr>
        <w:tc>
          <w:tcPr>
            <w:tcW w:type="dxa" w:w="3000"/>
            <w:tcMar>
              <w:top w:type="dxa" w:w="100"/>
              <w:left w:type="dxa" w:w="120"/>
              <w:bottom w:type="dxa" w:w="100"/>
              <w:right w:type="dxa" w:w="120"/>
            </w:tcMar>
          </w:tcPr>
          <w:p>
            <w:r>
              <w:rPr>
                <w:b w:val="false"/>
                <w:bCs w:val="false"/>
                <w:color w:val="000000"/>
                <w:sz w:val="20"/>
                <w:szCs w:val="20"/>
              </w:rPr>
              <w:t xml:space="preserve">Missing values removed</w:t>
            </w:r>
          </w:p>
        </w:tc>
        <w:tc>
          <w:tcPr>
            <w:tcW w:type="dxa" w:w="2400"/>
            <w:tcMar>
              <w:top w:type="dxa" w:w="100"/>
              <w:left w:type="dxa" w:w="120"/>
              <w:bottom w:type="dxa" w:w="100"/>
              <w:right w:type="dxa" w:w="120"/>
            </w:tcMar>
          </w:tcPr>
          <w:p>
            <w:r>
              <w:rPr>
                <w:b w:val="false"/>
                <w:bCs w:val="false"/>
                <w:color w:val="000000"/>
                <w:sz w:val="20"/>
                <w:szCs w:val="20"/>
              </w:rPr>
              <w:t xml:space="preserve">243,007</w:t>
            </w:r>
          </w:p>
        </w:tc>
        <w:tc>
          <w:tcPr>
            <w:tcW w:type="dxa" w:w="2400"/>
            <w:tcMar>
              <w:top w:type="dxa" w:w="100"/>
              <w:left w:type="dxa" w:w="120"/>
              <w:bottom w:type="dxa" w:w="100"/>
              <w:right w:type="dxa" w:w="120"/>
            </w:tcMar>
          </w:tcPr>
          <w:p>
            <w:r>
              <w:rPr>
                <w:b w:val="false"/>
                <w:bCs w:val="false"/>
                <w:color w:val="000000"/>
                <w:sz w:val="20"/>
                <w:szCs w:val="20"/>
              </w:rPr>
              <w:t xml:space="preserve">243,007</w:t>
            </w:r>
          </w:p>
        </w:tc>
        <w:tc>
          <w:tcPr>
            <w:tcW w:type="dxa" w:w="1500"/>
            <w:tcMar>
              <w:top w:type="dxa" w:w="100"/>
              <w:left w:type="dxa" w:w="120"/>
              <w:bottom w:type="dxa" w:w="100"/>
              <w:right w:type="dxa" w:w="120"/>
            </w:tcMar>
          </w:tcPr>
          <w:p>
            <w:r>
              <w:rPr>
                <w:b w:val="false"/>
                <w:bCs w:val="false"/>
                <w:color w:val="000000"/>
                <w:sz w:val="20"/>
                <w:szCs w:val="20"/>
              </w:rPr>
              <w:t xml:space="preserve">Exact match</w:t>
            </w:r>
          </w:p>
        </w:tc>
      </w:tr>
      <w:tr>
        <w:tc>
          <w:tcPr>
            <w:tcW w:type="dxa" w:w="3000"/>
            <w:shd w:fill="EAF1F8" w:val="clear"/>
            <w:tcMar>
              <w:top w:type="dxa" w:w="100"/>
              <w:left w:type="dxa" w:w="120"/>
              <w:bottom w:type="dxa" w:w="100"/>
              <w:right w:type="dxa" w:w="120"/>
            </w:tcMar>
          </w:tcPr>
          <w:p>
            <w:r>
              <w:rPr>
                <w:b w:val="false"/>
                <w:bCs w:val="false"/>
                <w:color w:val="000000"/>
                <w:sz w:val="20"/>
                <w:szCs w:val="20"/>
              </w:rPr>
              <w:t xml:space="preserve">Duplicates removed</w:t>
            </w:r>
          </w:p>
        </w:tc>
        <w:tc>
          <w:tcPr>
            <w:tcW w:type="dxa" w:w="2400"/>
            <w:shd w:fill="EAF1F8" w:val="clear"/>
            <w:tcMar>
              <w:top w:type="dxa" w:w="100"/>
              <w:left w:type="dxa" w:w="120"/>
              <w:bottom w:type="dxa" w:w="100"/>
              <w:right w:type="dxa" w:w="120"/>
            </w:tcMar>
          </w:tcPr>
          <w:p>
            <w:r>
              <w:rPr>
                <w:b w:val="false"/>
                <w:bCs w:val="false"/>
                <w:color w:val="000000"/>
                <w:sz w:val="20"/>
                <w:szCs w:val="20"/>
              </w:rPr>
              <w:t xml:space="preserve">34,335</w:t>
            </w:r>
          </w:p>
        </w:tc>
        <w:tc>
          <w:tcPr>
            <w:tcW w:type="dxa" w:w="2400"/>
            <w:shd w:fill="EAF1F8" w:val="clear"/>
            <w:tcMar>
              <w:top w:type="dxa" w:w="100"/>
              <w:left w:type="dxa" w:w="120"/>
              <w:bottom w:type="dxa" w:w="100"/>
              <w:right w:type="dxa" w:w="120"/>
            </w:tcMar>
          </w:tcPr>
          <w:p>
            <w:r>
              <w:rPr>
                <w:b w:val="false"/>
                <w:bCs w:val="false"/>
                <w:color w:val="000000"/>
                <w:sz w:val="20"/>
                <w:szCs w:val="20"/>
              </w:rPr>
              <w:t xml:space="preserve">34,335</w:t>
            </w:r>
          </w:p>
        </w:tc>
        <w:tc>
          <w:tcPr>
            <w:tcW w:type="dxa" w:w="1500"/>
            <w:shd w:fill="EAF1F8" w:val="clear"/>
            <w:tcMar>
              <w:top w:type="dxa" w:w="100"/>
              <w:left w:type="dxa" w:w="120"/>
              <w:bottom w:type="dxa" w:w="100"/>
              <w:right w:type="dxa" w:w="120"/>
            </w:tcMar>
          </w:tcPr>
          <w:p>
            <w:r>
              <w:rPr>
                <w:b w:val="false"/>
                <w:bCs w:val="false"/>
                <w:color w:val="000000"/>
                <w:sz w:val="20"/>
                <w:szCs w:val="20"/>
              </w:rPr>
              <w:t xml:space="preserve">Exact match</w:t>
            </w:r>
          </w:p>
        </w:tc>
      </w:tr>
      <w:tr>
        <w:tc>
          <w:tcPr>
            <w:tcW w:type="dxa" w:w="3000"/>
            <w:tcMar>
              <w:top w:type="dxa" w:w="100"/>
              <w:left w:type="dxa" w:w="120"/>
              <w:bottom w:type="dxa" w:w="100"/>
              <w:right w:type="dxa" w:w="120"/>
            </w:tcMar>
          </w:tcPr>
          <w:p>
            <w:r>
              <w:rPr>
                <w:b w:val="false"/>
                <w:bCs w:val="false"/>
                <w:color w:val="000000"/>
                <w:sz w:val="20"/>
                <w:szCs w:val="20"/>
              </w:rPr>
              <w:t xml:space="preserve">Best skew-reducing transform</w:t>
            </w:r>
          </w:p>
        </w:tc>
        <w:tc>
          <w:tcPr>
            <w:tcW w:type="dxa" w:w="2400"/>
            <w:tcMar>
              <w:top w:type="dxa" w:w="100"/>
              <w:left w:type="dxa" w:w="120"/>
              <w:bottom w:type="dxa" w:w="100"/>
              <w:right w:type="dxa" w:w="120"/>
            </w:tcMar>
          </w:tcPr>
          <w:p>
            <w:r>
              <w:rPr>
                <w:b w:val="false"/>
                <w:bCs w:val="false"/>
                <w:color w:val="000000"/>
                <w:sz w:val="20"/>
                <w:szCs w:val="20"/>
              </w:rPr>
              <w:t xml:space="preserve">Box-Cox</w:t>
            </w:r>
          </w:p>
        </w:tc>
        <w:tc>
          <w:tcPr>
            <w:tcW w:type="dxa" w:w="2400"/>
            <w:tcMar>
              <w:top w:type="dxa" w:w="100"/>
              <w:left w:type="dxa" w:w="120"/>
              <w:bottom w:type="dxa" w:w="100"/>
              <w:right w:type="dxa" w:w="120"/>
            </w:tcMar>
          </w:tcPr>
          <w:p>
            <w:r>
              <w:rPr>
                <w:b w:val="false"/>
                <w:bCs w:val="false"/>
                <w:color w:val="000000"/>
                <w:sz w:val="20"/>
                <w:szCs w:val="20"/>
              </w:rPr>
              <w:t xml:space="preserve">Box-Cox</w:t>
            </w:r>
          </w:p>
        </w:tc>
        <w:tc>
          <w:tcPr>
            <w:tcW w:type="dxa" w:w="1500"/>
            <w:tcMar>
              <w:top w:type="dxa" w:w="100"/>
              <w:left w:type="dxa" w:w="120"/>
              <w:bottom w:type="dxa" w:w="100"/>
              <w:right w:type="dxa" w:w="120"/>
            </w:tcMar>
          </w:tcPr>
          <w:p>
            <w:r>
              <w:rPr>
                <w:b w:val="false"/>
                <w:bCs w:val="false"/>
                <w:color w:val="000000"/>
                <w:sz w:val="20"/>
                <w:szCs w:val="20"/>
              </w:rPr>
              <w:t xml:space="preserve">Independently verified</w:t>
            </w:r>
          </w:p>
        </w:tc>
      </w:tr>
      <w:tr>
        <w:tc>
          <w:tcPr>
            <w:tcW w:type="dxa" w:w="3000"/>
            <w:shd w:fill="EAF1F8" w:val="clear"/>
            <w:tcMar>
              <w:top w:type="dxa" w:w="100"/>
              <w:left w:type="dxa" w:w="120"/>
              <w:bottom w:type="dxa" w:w="100"/>
              <w:right w:type="dxa" w:w="120"/>
            </w:tcMar>
          </w:tcPr>
          <w:p>
            <w:r>
              <w:rPr>
                <w:b w:val="false"/>
                <w:bCs w:val="false"/>
                <w:color w:val="000000"/>
                <w:sz w:val="20"/>
                <w:szCs w:val="20"/>
              </w:rPr>
              <w:t xml:space="preserve">Optimal k (KneeLocator)</w:t>
            </w:r>
          </w:p>
        </w:tc>
        <w:tc>
          <w:tcPr>
            <w:tcW w:type="dxa" w:w="2400"/>
            <w:shd w:fill="EAF1F8" w:val="clear"/>
            <w:tcMar>
              <w:top w:type="dxa" w:w="100"/>
              <w:left w:type="dxa" w:w="120"/>
              <w:bottom w:type="dxa" w:w="100"/>
              <w:right w:type="dxa" w:w="120"/>
            </w:tcMar>
          </w:tcPr>
          <w:p>
            <w:r>
              <w:rPr>
                <w:b w:val="false"/>
                <w:bCs w:val="false"/>
                <w:color w:val="000000"/>
                <w:sz w:val="20"/>
                <w:szCs w:val="20"/>
              </w:rPr>
              <w:t xml:space="preserve">4</w:t>
            </w:r>
          </w:p>
        </w:tc>
        <w:tc>
          <w:tcPr>
            <w:tcW w:type="dxa" w:w="2400"/>
            <w:shd w:fill="EAF1F8" w:val="clear"/>
            <w:tcMar>
              <w:top w:type="dxa" w:w="100"/>
              <w:left w:type="dxa" w:w="120"/>
              <w:bottom w:type="dxa" w:w="100"/>
              <w:right w:type="dxa" w:w="120"/>
            </w:tcMar>
          </w:tcPr>
          <w:p>
            <w:r>
              <w:rPr>
                <w:b w:val="false"/>
                <w:bCs w:val="false"/>
                <w:color w:val="000000"/>
                <w:sz w:val="20"/>
                <w:szCs w:val="20"/>
              </w:rPr>
              <w:t xml:space="preserve">4</w:t>
            </w:r>
          </w:p>
        </w:tc>
        <w:tc>
          <w:tcPr>
            <w:tcW w:type="dxa" w:w="1500"/>
            <w:shd w:fill="EAF1F8" w:val="clear"/>
            <w:tcMar>
              <w:top w:type="dxa" w:w="100"/>
              <w:left w:type="dxa" w:w="120"/>
              <w:bottom w:type="dxa" w:w="100"/>
              <w:right w:type="dxa" w:w="120"/>
            </w:tcMar>
          </w:tcPr>
          <w:p>
            <w:r>
              <w:rPr>
                <w:b w:val="false"/>
                <w:bCs w:val="false"/>
                <w:color w:val="000000"/>
                <w:sz w:val="20"/>
                <w:szCs w:val="20"/>
              </w:rPr>
              <w:t xml:space="preserve">Exact match</w:t>
            </w:r>
          </w:p>
        </w:tc>
      </w:tr>
      <w:tr>
        <w:tc>
          <w:tcPr>
            <w:tcW w:type="dxa" w:w="3000"/>
            <w:tcMar>
              <w:top w:type="dxa" w:w="100"/>
              <w:left w:type="dxa" w:w="120"/>
              <w:bottom w:type="dxa" w:w="100"/>
              <w:right w:type="dxa" w:w="120"/>
            </w:tcMar>
          </w:tcPr>
          <w:p>
            <w:r>
              <w:rPr>
                <w:b w:val="false"/>
                <w:bCs w:val="false"/>
                <w:color w:val="000000"/>
                <w:sz w:val="20"/>
                <w:szCs w:val="20"/>
              </w:rPr>
              <w:t xml:space="preserve">Evaluation metric</w:t>
            </w:r>
          </w:p>
        </w:tc>
        <w:tc>
          <w:tcPr>
            <w:tcW w:type="dxa" w:w="2400"/>
            <w:tcMar>
              <w:top w:type="dxa" w:w="100"/>
              <w:left w:type="dxa" w:w="120"/>
              <w:bottom w:type="dxa" w:w="100"/>
              <w:right w:type="dxa" w:w="120"/>
            </w:tcMar>
          </w:tcPr>
          <w:p>
            <w:r>
              <w:rPr>
                <w:b w:val="false"/>
                <w:bCs w:val="false"/>
                <w:color w:val="000000"/>
                <w:sz w:val="20"/>
                <w:szCs w:val="20"/>
              </w:rPr>
              <w:t xml:space="preserve">Silhouette Score</w:t>
            </w:r>
          </w:p>
        </w:tc>
        <w:tc>
          <w:tcPr>
            <w:tcW w:type="dxa" w:w="2400"/>
            <w:tcMar>
              <w:top w:type="dxa" w:w="100"/>
              <w:left w:type="dxa" w:w="120"/>
              <w:bottom w:type="dxa" w:w="100"/>
              <w:right w:type="dxa" w:w="120"/>
            </w:tcMar>
          </w:tcPr>
          <w:p>
            <w:r>
              <w:rPr>
                <w:b w:val="false"/>
                <w:bCs w:val="false"/>
                <w:color w:val="000000"/>
                <w:sz w:val="20"/>
                <w:szCs w:val="20"/>
              </w:rPr>
              <w:t xml:space="preserve">0.379</w:t>
            </w:r>
          </w:p>
        </w:tc>
        <w:tc>
          <w:tcPr>
            <w:tcW w:type="dxa" w:w="1500"/>
            <w:tcMar>
              <w:top w:type="dxa" w:w="100"/>
              <w:left w:type="dxa" w:w="120"/>
              <w:bottom w:type="dxa" w:w="100"/>
              <w:right w:type="dxa" w:w="120"/>
            </w:tcMar>
          </w:tcPr>
          <w:p>
            <w:r>
              <w:rPr>
                <w:b w:val="false"/>
                <w:bCs w:val="false"/>
                <w:color w:val="000000"/>
                <w:sz w:val="20"/>
                <w:szCs w:val="20"/>
              </w:rPr>
              <w:t xml:space="preserve">Applied and reported</w:t>
            </w:r>
          </w:p>
        </w:tc>
      </w:tr>
    </w:tbl>
    <w:p>
      <w:pPr>
        <w:pStyle w:val="Heading1"/>
        <w:spacing w:after="150" w:before="300"/>
      </w:pPr>
      <w:r>
        <w:t xml:space="preserve">12. Conclusion and Contribution</w:t>
      </w:r>
    </w:p>
    <w:p>
      <w:pPr>
        <w:spacing w:after="150"/>
        <w:jc w:val="both"/>
      </w:pPr>
      <w:r>
        <w:t xml:space="preserve">This project independently implements the full customer segmentation pipeline — data cleaning, RFM feature engineering, outlier handling, distribution transformation, automated cluster optimisation, K-Means clustering, evaluation, and visualisation — using the referenced paper's methodology as a structural guide rather than a source to copy.</w:t>
      </w:r>
    </w:p>
    <w:p>
      <w:pPr>
        <w:spacing w:after="150"/>
        <w:jc w:val="both"/>
      </w:pPr>
      <w:r>
        <w:t xml:space="preserve">The specific contribution beyond the reference paper lies in Sections 9 and 10: translating statistical clusters into named, actionable business segments with concrete, segment-specific marketing recommendations, supported by an explicit numerical validation of each preprocessing step against the paper's reported statistics.</w:t>
      </w:r>
    </w:p>
    <w:p>
      <w:pPr>
        <w:pStyle w:val="Heading1"/>
        <w:spacing w:after="150" w:before="300"/>
      </w:pPr>
      <w:r>
        <w:t xml:space="preserve">Tools and Libraries Used</w:t>
      </w:r>
    </w:p>
    <w:p>
      <w:pPr>
        <w:pStyle w:val="ListParagraph"/>
        <w:numPr>
          <w:ilvl w:val="0"/>
          <w:numId w:val="2"/>
        </w:numPr>
        <w:spacing w:after="80"/>
      </w:pPr>
      <w:r>
        <w:t xml:space="preserve">Python: pandas, numpy, scipy, matplotlib</w:t>
      </w:r>
    </w:p>
    <w:p>
      <w:pPr>
        <w:pStyle w:val="ListParagraph"/>
        <w:numPr>
          <w:ilvl w:val="0"/>
          <w:numId w:val="2"/>
        </w:numPr>
        <w:spacing w:after="80"/>
      </w:pPr>
      <w:r>
        <w:t xml:space="preserve">scikit-learn: KMeans, StandardScaler, PCA, silhouette_score</w:t>
      </w:r>
    </w:p>
    <w:p>
      <w:pPr>
        <w:pStyle w:val="ListParagraph"/>
        <w:numPr>
          <w:ilvl w:val="0"/>
          <w:numId w:val="2"/>
        </w:numPr>
        <w:spacing w:after="80"/>
      </w:pPr>
      <w:r>
        <w:t xml:space="preserve">kneed: KneeLocator for automated elbow detection</w:t>
      </w:r>
    </w:p>
    <w:p>
      <w:pPr>
        <w:pStyle w:val="ListParagraph"/>
        <w:numPr>
          <w:ilvl w:val="0"/>
          <w:numId w:val="2"/>
        </w:numPr>
        <w:spacing w:after="80"/>
      </w:pPr>
      <w:r>
        <w:t xml:space="preserve">Environment: Google Colab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2026-09-13T18:34:43.908Z</dcterms:created>
  <dcterms:modified xsi:type="dcterms:W3CDTF">2026-09-13T18:34:43.919Z</dcterms:modified>
</cp:coreProperties>
</file>

<file path=docProps/custom.xml><?xml version="1.0" encoding="utf-8"?>
<Properties xmlns="http://schemas.openxmlformats.org/officeDocument/2006/custom-properties" xmlns:vt="http://schemas.openxmlformats.org/officeDocument/2006/docPropsVTypes"/>
</file>