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Enrolment and Retention Review</w:t>
      </w:r>
    </w:p>
    <w:p>
      <w:pPr>
        <w:pStyle w:val="Heading1"/>
        <w:spacing w:before="960"/>
      </w:pPr>
      <w:r>
        <w:t xml:space="preserve">Introduction</w:t>
      </w:r>
    </w:p>
    <w:p>
      <w:pPr>
        <w:pStyle w:val="Normal"/>
      </w:pPr>
      <w:r>
        <w:t xml:space="preserve">Course enrolment rose across both campuses during the reporting period, and the intake survey returned a higher completion rate than in the previous year. The figures in this review summarise the position at the close of the term, with comparisons drawn against the same point twelve months earlier. Where a measure changed definition during the year the earlier value has been restated, so that the series remains comparable across the full period rather than only within it. Two departments submitted their returns after the cut-off date; their totals are included, and the late submission is noted in the relevant table so that the reader can judge how much weight the comparison carries.</w:t>
      </w:r>
    </w:p>
    <w:p>
      <w:pPr>
        <w:pStyle w:val="Normal"/>
      </w:pPr>
      <w:r>
        <w:t xml:space="preserve">Retention was measured as the proportion of students enrolled at the census date who remained enrolled at the end of the teaching period. That definition excludes students who transferred between programmes within the institution, because counting a transfer as a withdrawal would overstate attrition in exactly the programmes that absorbed those students. Where a student interrupted study and returned within the same academic year, the enrolment is treated as continuous. The resulting series is therefore slightly more conservative than the figures published in previous reviews, and the difference is quantified in the appendix rather than left for the reader to infer.</w:t>
      </w:r>
    </w:p>
    <w:p>
      <w:pPr>
        <w:pStyle w:val="Normal"/>
      </w:pPr>
      <w:r>
        <w:t xml:space="preserve">Survey responses were collected online over three weeks, with two reminders sent to non-respondents. The overall response rate was sufficient for institution-level reporting but not for reliable breakdowns by individual programme, and no programme with fewer than fifteen responses is reported separately. Free-text comments were coded independently by two reviewers, and disagreements were resolved by discussion rather than by averaging the codes. The coding frame is reproduced in full so that a later review can apply the same categories and obtain a comparable result.</w:t>
      </w:r>
    </w:p>
    <w:p>
      <w:pPr>
        <w:pStyle w:val="Normal"/>
      </w:pPr>
      <w:r>
        <w:t xml:space="preserve">Timetabling pressure remains the most frequently raised concern, appearing in roughly a third of all free-text comments and in every programme with more than fifty responses. Students described the difficulty of combining compulsory sessions with paid work, and several noted that published timetables changed after they had arranged their commitments. The scheduling team has since moved the publication date earlier in the cycle. Whether that change improves the position will not be visible until the next reporting period, and this review makes no claim about its effect.</w:t>
      </w:r>
    </w:p>
    <w:p>
      <w:pPr>
        <w:pStyle w:val="Normal"/>
      </w:pPr>
      <w:r>
        <w:t xml:space="preserve">Library and study-space use recovered to pre-review levels, though the pattern of use shifted towards evenings and weekends. Occupancy sensors recorded the change consistently across both sites, and the finding is supported by gate counts collected independently. The practical consequence is that peak demand no longer coincides with staffed opening hours. Options for extending supported access are being costed, and no commitment has been made in advance of that work.</w:t>
      </w:r>
    </w:p>
    <w:p>
      <w:pPr>
        <w:pStyle w:val="Heading1"/>
      </w:pPr>
      <w:r>
        <w:t xml:space="preserve">Method</w:t>
      </w:r>
    </w:p>
    <w:p>
      <w:pPr>
        <w:pStyle w:val="Normal"/>
      </w:pPr>
      <w:r>
        <w:t xml:space="preserve">Course enrolment rose across both campuses during the reporting period, and the intake survey returned a higher completion rate than in the previous year. The figures in this review summarise the position at the close of the term, with comparisons drawn against the same point twelve months earlier. Where a measure changed definition during the year the earlier value has been restated, so that the series remains comparable across the full period rather than only within it. Two departments submitted their returns after the cut-off date; their totals are included, and the late submission is noted in the relevant table so that the reader can judge how much weight the comparison carries.</w:t>
      </w:r>
    </w:p>
    <w:p>
      <w:pPr>
        <w:pStyle w:val="Normal"/>
      </w:pPr>
      <w:r>
        <w:t xml:space="preserve">Retention was measured as the proportion of students enrolled at the census date who remained enrolled at the end of the teaching period. That definition excludes students who transferred between programmes within the institution, because counting a transfer as a withdrawal would overstate attrition in exactly the programmes that absorbed those students. Where a student interrupted study and returned within the same academic year, the enrolment is treated as continuous. The resulting series is therefore slightly more conservative than the figures published in previous reviews, and the difference is quantified in the appendix rather than left for the reader to infer.</w:t>
      </w:r>
    </w:p>
    <w:p>
      <w:pPr>
        <w:pStyle w:val="Normal"/>
        <w:jc w:val="center"/>
      </w:pPr>
      <w:r>
        <w:t xml:space="preserve">Survey responses were collected online over three weeks, with two reminders sent to non-respondents. The overall response rate was sufficient for institution-level reporting but not for reliable breakdowns by individual programme, and no programme with fewer than fifteen responses is reported separately. Free-text comments were coded independently by two reviewers, and disagreements were resolved by discussion rather than by averaging the codes. The coding frame is reproduced in full so that a later review can apply the same categories and obtain a comparable result.</w:t>
      </w:r>
    </w:p>
    <w:p>
      <w:pPr>
        <w:pStyle w:val="Normal"/>
      </w:pPr>
      <w:r>
        <w:t xml:space="preserve">Timetabling pressure remains the most frequently raised concern, appearing in roughly a third of all free-text comments and in every programme with more than fifty responses. Students described the difficulty of combining compulsory sessions with paid work, and several noted that published timetables changed after they had arranged their commitments. The scheduling team has since moved the publication date earlier in the cycle. Whether that change improves the position will not be visible until the next reporting period, and this review makes no claim about its effect.</w:t>
      </w:r>
    </w:p>
    <w:p>
      <w:pPr>
        <w:pStyle w:val="Normal"/>
      </w:pPr>
      <w:r>
        <w:t xml:space="preserve">Library and study-space use recovered to pre-review levels, though the pattern of use shifted towards evenings and weekends. Occupancy sensors recorded the change consistently across both sites, and the finding is supported by gate counts collected independently. The practical consequence is that peak demand no longer coincides with staffed opening hours. Options for extending supported access are being costed, and no commitment has been made in advance of that work.</w:t>
      </w:r>
    </w:p>
    <w:p>
      <w:pPr>
        <w:pStyle w:val="Heading1"/>
      </w:pPr>
      <w:r>
        <w:t xml:space="preserve">Results</w:t>
      </w:r>
    </w:p>
    <w:p>
      <w:pPr>
        <w:pStyle w:val="Normal"/>
      </w:pPr>
      <w:r>
        <w:t xml:space="preserve">Course enrolment rose across both campuses during the reporting period, and the intake survey returned a higher completion rate than in the previous year. The figures in this review summarise the position at the close of the term, with comparisons drawn against the same point twelve months earlier. Where a measure changed definition during the year the earlier value has been restated, so that the series remains comparable across the full period rather than only within it. Two departments submitted their returns after the cut-off date; their totals are included, and the late submission is noted in the relevant table so that the reader can judge how much weight the comparison carries.</w:t>
      </w:r>
    </w:p>
    <w:p>
      <w:pPr>
        <w:pStyle w:val="Normal"/>
      </w:pPr>
      <w:r>
        <w:t xml:space="preserve">Retention was measured as the proportion of students enrolled at the census date who remained enrolled at the end of the teaching period. That definition excludes students who transferred between programmes within the institution, because counting a transfer as a withdrawal would overstate attrition in exactly the programmes that absorbed those students. Where a student interrupted study and returned within the same academic year, the enrolment is treated as continuous. The resulting series is therefore slightly more conservative than the figures published in previous reviews, and the difference is quantified in the appendix rather than left for the reader to infer.</w:t>
      </w:r>
    </w:p>
    <w:p>
      <w:pPr>
        <w:pStyle w:val="Normal"/>
      </w:pPr>
      <w:r>
        <w:t xml:space="preserve">Survey responses were collected online over three weeks, with two reminders sent to non-respondents. The overall response rate was sufficient for institution-level reporting but not for reliable breakdowns by individual programme, and no programme with fewer than fifteen responses is reported separately. Free-text comments were coded independently by two reviewers, and disagreements were resolved by discussion rather than by averaging the codes. The coding frame is reproduced in full so that a later review can apply the same categories and obtain a comparable result.</w:t>
      </w:r>
    </w:p>
    <w:p>
      <w:pPr>
        <w:pStyle w:val="Normal"/>
      </w:pPr>
      <w:r>
        <w:t xml:space="preserve">Timetabling pressure remains the most frequently raised concern, appearing in roughly a third of all free-text comments and in every programme with more than fifty responses. Students described the difficulty of combining compulsory sessions with paid work, and several noted that published timetables changed after they had arranged their commitments. The scheduling team has since moved the publication date earlier in the cycle. Whether that change improves the position will not be visible until the next reporting period, and this review makes no claim about its effect.</w:t>
      </w:r>
    </w:p>
    <w:p>
      <w:pPr>
        <w:pStyle w:val="Normal"/>
      </w:pPr>
      <w:r>
        <w:t xml:space="preserve">Library and study-space use recovered to pre-review levels, though the pattern of use shifted towards evenings and weekends. Occupancy sensors recorded the change consistently across both sites, and the finding is supported by gate counts collected independently. The practical consequence is that peak demand no longer coincides with staffed opening hours. Options for extending supported access are being costed, and no commitment has been made in advance of that work.</w:t>
      </w:r>
    </w:p>
    <w:p>
      <w:pPr>
        <w:pStyle w:val="Heading1"/>
        <w:pageBreakBefore w:val="1"/>
      </w:pPr>
      <w:r>
        <w:t xml:space="preserve">Conclusion</w:t>
      </w:r>
    </w:p>
    <w:p>
      <w:pPr>
        <w:pStyle w:val="Normal"/>
      </w:pPr>
      <w:r>
        <w:t xml:space="preserve">Enrolment and retention both improved against the restated baseline, while the concerns raised about timetabling and supported access remain open. The next review will report on the scheduling change using the same definitions.</w:t>
      </w:r>
    </w:p>
    <w:sectPr>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 w:type="paragraph" w:styleId="Title">
    <w:name w:val="Title"/>
    <w:basedOn w:val="Normal"/>
    <w:pPr>
      <w:spacing w:after="360"/>
      <w:jc w:val="center"/>
    </w:pPr>
    <w:rPr>
      <w:b/>
      <w:sz w:val="4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