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Two Columns</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r>
        <w:t xml:space="preserve">The first column ends with this sentence. </w:t>
      </w:r>
      <w:r>
        <w:br w:type="column"/>
        <w:t xml:space="preserve">The second column begins with this one. </w:t>
      </w:r>
    </w:p>
    <w:p>
      <w:r>
        <w:br w:type="page"/>
        <w:t xml:space="preserve">A page break, not a column break.</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sectPr>
      <w:pgSz w:w="11906" w:h="16838"/>
      <w:pgMar w:top="1418" w:right="1418" w:bottom="1418" w:left="1418" w:header="709" w:footer="709" w:gutter="0"/>
      <w:cols w:num="2" w:space="425" w:equalWidth="1"/>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