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CDB7" w14:textId="77777777" w:rsidR="00CD5F4E" w:rsidRPr="002A1558" w:rsidRDefault="00CD5F4E" w:rsidP="002A1558">
      <w:pPr>
        <w:jc w:val="both"/>
        <w:rPr>
          <w:rFonts w:ascii="Aptos" w:hAnsi="Aptos"/>
          <w:b/>
          <w:bCs/>
          <w:sz w:val="40"/>
          <w:szCs w:val="40"/>
        </w:rPr>
      </w:pPr>
      <w:r w:rsidRPr="002A1558">
        <w:rPr>
          <w:rFonts w:ascii="Aptos" w:hAnsi="Aptos"/>
          <w:b/>
          <w:bCs/>
          <w:sz w:val="40"/>
          <w:szCs w:val="40"/>
        </w:rPr>
        <w:t>AY 2026–27 Income Tax Return Filing: Why Professional Tax Guidance Matters More Than Ever</w:t>
      </w:r>
    </w:p>
    <w:p w14:paraId="3115445B" w14:textId="77777777" w:rsidR="00CD5F4E" w:rsidRPr="002A1558" w:rsidRDefault="00CD5F4E" w:rsidP="002A1558">
      <w:pPr>
        <w:jc w:val="both"/>
        <w:rPr>
          <w:rFonts w:ascii="Aptos" w:hAnsi="Aptos"/>
        </w:rPr>
      </w:pPr>
      <w:r w:rsidRPr="002A1558">
        <w:rPr>
          <w:rFonts w:ascii="Aptos" w:hAnsi="Aptos"/>
        </w:rPr>
        <w:t>The Income Tax Return (ITR) filing season for Assessment Year (AY) 2026–27 has officially commenced. The Central Board of Direct Taxes (CBDT) has notified the relevant ITR forms, enabling taxpayers to begin filing returns for income earned during Financial Year (FY) 2025–26.</w:t>
      </w:r>
    </w:p>
    <w:p w14:paraId="17EC1C5F" w14:textId="77777777" w:rsidR="00CD5F4E" w:rsidRPr="002A1558" w:rsidRDefault="00CD5F4E" w:rsidP="002A1558">
      <w:pPr>
        <w:jc w:val="both"/>
        <w:rPr>
          <w:rFonts w:ascii="Aptos" w:hAnsi="Aptos"/>
        </w:rPr>
      </w:pPr>
      <w:r w:rsidRPr="002A1558">
        <w:rPr>
          <w:rFonts w:ascii="Aptos" w:hAnsi="Aptos"/>
        </w:rPr>
        <w:t>While annual return filing has often been viewed as a routine compliance activity, the current year presents a more nuanced situation. The implementation of the new Income Tax Act, 2025 has created considerable discussion and confusion among taxpayers. At the same time, changes in filing timelines, reporting requirements, enhanced information reporting systems, and increased data matching by the Income Tax Department make accurate compliance more important than ever.</w:t>
      </w:r>
    </w:p>
    <w:p w14:paraId="58091CA9" w14:textId="77777777" w:rsidR="00CD5F4E" w:rsidRPr="002A1558" w:rsidRDefault="00CD5F4E" w:rsidP="002A1558">
      <w:pPr>
        <w:jc w:val="both"/>
        <w:rPr>
          <w:rFonts w:ascii="Aptos" w:hAnsi="Aptos"/>
        </w:rPr>
      </w:pPr>
      <w:r w:rsidRPr="002A1558">
        <w:rPr>
          <w:rFonts w:ascii="Aptos" w:hAnsi="Aptos"/>
        </w:rPr>
        <w:t>In such an environment, return filing should not merely be treated as a form submission exercise. It requires careful evaluation of income disclosures, tax positions, deductions, and long-term implications. Professional guidance from Chartered Accountants and tax advisors plays a critical role in ensuring compliance while minimizing potential future disputes.</w:t>
      </w:r>
    </w:p>
    <w:p w14:paraId="709D696A" w14:textId="77777777" w:rsidR="00CD5F4E" w:rsidRPr="002A1558" w:rsidRDefault="00CD5F4E" w:rsidP="002A1558">
      <w:pPr>
        <w:jc w:val="both"/>
        <w:rPr>
          <w:rFonts w:ascii="Aptos" w:hAnsi="Aptos"/>
        </w:rPr>
      </w:pPr>
      <w:r w:rsidRPr="002A1558">
        <w:rPr>
          <w:rFonts w:ascii="Aptos" w:hAnsi="Aptos"/>
        </w:rPr>
        <w:pict w14:anchorId="154986A8">
          <v:rect id="_x0000_i1115" style="width:0;height:1.5pt" o:hralign="center" o:hrstd="t" o:hr="t" fillcolor="#a0a0a0" stroked="f"/>
        </w:pict>
      </w:r>
    </w:p>
    <w:p w14:paraId="61E20888" w14:textId="77777777" w:rsidR="00CD5F4E" w:rsidRPr="002A1558" w:rsidRDefault="00CD5F4E" w:rsidP="002A1558">
      <w:pPr>
        <w:jc w:val="both"/>
        <w:rPr>
          <w:rFonts w:ascii="Aptos" w:hAnsi="Aptos"/>
          <w:b/>
          <w:bCs/>
          <w:sz w:val="28"/>
          <w:szCs w:val="28"/>
        </w:rPr>
      </w:pPr>
      <w:r w:rsidRPr="002A1558">
        <w:rPr>
          <w:rFonts w:ascii="Aptos" w:hAnsi="Aptos"/>
          <w:b/>
          <w:bCs/>
          <w:sz w:val="28"/>
          <w:szCs w:val="28"/>
        </w:rPr>
        <w:t>Understanding the Transitional Position: Which Tax Law Applies?</w:t>
      </w:r>
    </w:p>
    <w:p w14:paraId="376E4184" w14:textId="77777777" w:rsidR="00CD5F4E" w:rsidRPr="002A1558" w:rsidRDefault="00CD5F4E" w:rsidP="002A1558">
      <w:pPr>
        <w:jc w:val="both"/>
        <w:rPr>
          <w:rFonts w:ascii="Aptos" w:hAnsi="Aptos"/>
        </w:rPr>
      </w:pPr>
      <w:r w:rsidRPr="002A1558">
        <w:rPr>
          <w:rFonts w:ascii="Aptos" w:hAnsi="Aptos"/>
        </w:rPr>
        <w:t>A significant misconception during the current filing cycle relates to the applicability of the new Income Tax Act, 2025.</w:t>
      </w:r>
    </w:p>
    <w:p w14:paraId="1BD44550" w14:textId="77777777" w:rsidR="00CD5F4E" w:rsidRPr="002A1558" w:rsidRDefault="00CD5F4E" w:rsidP="002A1558">
      <w:pPr>
        <w:jc w:val="both"/>
        <w:rPr>
          <w:rFonts w:ascii="Aptos" w:hAnsi="Aptos"/>
        </w:rPr>
      </w:pPr>
      <w:r w:rsidRPr="002A1558">
        <w:rPr>
          <w:rFonts w:ascii="Aptos" w:hAnsi="Aptos"/>
        </w:rPr>
        <w:t>For AY 2026–27, taxpayers are filing returns for income earned during FY 2025–26. Accordingly, the provisions of the Income Tax Act, 1961 continue to apply for this filing cycle.</w:t>
      </w:r>
    </w:p>
    <w:p w14:paraId="3973D82B" w14:textId="77777777" w:rsidR="00CD5F4E" w:rsidRPr="002A1558" w:rsidRDefault="00CD5F4E" w:rsidP="002A1558">
      <w:pPr>
        <w:jc w:val="both"/>
        <w:rPr>
          <w:rFonts w:ascii="Aptos" w:hAnsi="Aptos"/>
        </w:rPr>
      </w:pPr>
      <w:r w:rsidRPr="002A1558">
        <w:rPr>
          <w:rFonts w:ascii="Aptos" w:hAnsi="Aptos"/>
        </w:rPr>
        <w:t>Accordingly:</w:t>
      </w:r>
    </w:p>
    <w:p w14:paraId="2C38B5C0" w14:textId="77777777" w:rsidR="00CD5F4E" w:rsidRPr="002A1558" w:rsidRDefault="00CD5F4E" w:rsidP="002A1558">
      <w:pPr>
        <w:numPr>
          <w:ilvl w:val="0"/>
          <w:numId w:val="3"/>
        </w:numPr>
        <w:jc w:val="both"/>
        <w:rPr>
          <w:rFonts w:ascii="Aptos" w:hAnsi="Aptos"/>
        </w:rPr>
      </w:pPr>
      <w:r w:rsidRPr="002A1558">
        <w:rPr>
          <w:rFonts w:ascii="Aptos" w:hAnsi="Aptos"/>
        </w:rPr>
        <w:t xml:space="preserve">Existing deductions under Chapter VI-A continue to apply subject to prescribed conditions. </w:t>
      </w:r>
    </w:p>
    <w:p w14:paraId="16A14F35" w14:textId="77777777" w:rsidR="00CD5F4E" w:rsidRPr="002A1558" w:rsidRDefault="00CD5F4E" w:rsidP="002A1558">
      <w:pPr>
        <w:numPr>
          <w:ilvl w:val="0"/>
          <w:numId w:val="3"/>
        </w:numPr>
        <w:jc w:val="both"/>
        <w:rPr>
          <w:rFonts w:ascii="Aptos" w:hAnsi="Aptos"/>
        </w:rPr>
      </w:pPr>
      <w:r w:rsidRPr="002A1558">
        <w:rPr>
          <w:rFonts w:ascii="Aptos" w:hAnsi="Aptos"/>
        </w:rPr>
        <w:t xml:space="preserve">Provisions relating to house property, HRA, and housing loan deductions continue under the existing framework. </w:t>
      </w:r>
    </w:p>
    <w:p w14:paraId="45687088" w14:textId="77777777" w:rsidR="00CD5F4E" w:rsidRPr="002A1558" w:rsidRDefault="00CD5F4E" w:rsidP="002A1558">
      <w:pPr>
        <w:numPr>
          <w:ilvl w:val="0"/>
          <w:numId w:val="3"/>
        </w:numPr>
        <w:jc w:val="both"/>
        <w:rPr>
          <w:rFonts w:ascii="Aptos" w:hAnsi="Aptos"/>
        </w:rPr>
      </w:pPr>
      <w:r w:rsidRPr="002A1558">
        <w:rPr>
          <w:rFonts w:ascii="Aptos" w:hAnsi="Aptos"/>
        </w:rPr>
        <w:t xml:space="preserve">Existing tax regime selection provisions remain applicable. </w:t>
      </w:r>
    </w:p>
    <w:p w14:paraId="52B1E7CC" w14:textId="77777777" w:rsidR="00CD5F4E" w:rsidRPr="002A1558" w:rsidRDefault="00CD5F4E" w:rsidP="002A1558">
      <w:pPr>
        <w:numPr>
          <w:ilvl w:val="0"/>
          <w:numId w:val="3"/>
        </w:numPr>
        <w:jc w:val="both"/>
        <w:rPr>
          <w:rFonts w:ascii="Aptos" w:hAnsi="Aptos"/>
        </w:rPr>
      </w:pPr>
      <w:r w:rsidRPr="002A1558">
        <w:rPr>
          <w:rFonts w:ascii="Aptos" w:hAnsi="Aptos"/>
        </w:rPr>
        <w:t xml:space="preserve">Current ITR forms continue to be used. </w:t>
      </w:r>
    </w:p>
    <w:p w14:paraId="0E166783" w14:textId="77777777" w:rsidR="00CD5F4E" w:rsidRPr="002A1558" w:rsidRDefault="00CD5F4E" w:rsidP="002A1558">
      <w:pPr>
        <w:jc w:val="both"/>
        <w:rPr>
          <w:rFonts w:ascii="Aptos" w:hAnsi="Aptos"/>
        </w:rPr>
      </w:pPr>
      <w:r w:rsidRPr="002A1558">
        <w:rPr>
          <w:rFonts w:ascii="Aptos" w:hAnsi="Aptos"/>
        </w:rPr>
        <w:t>Taxpayers should therefore avoid making filing decisions solely based on discussions surrounding the new legislation.</w:t>
      </w:r>
    </w:p>
    <w:p w14:paraId="0C8DBD5F" w14:textId="77777777" w:rsidR="00CD5F4E" w:rsidRPr="002A1558" w:rsidRDefault="00CD5F4E" w:rsidP="002A1558">
      <w:pPr>
        <w:jc w:val="both"/>
        <w:rPr>
          <w:rFonts w:ascii="Aptos" w:hAnsi="Aptos"/>
        </w:rPr>
      </w:pPr>
      <w:r w:rsidRPr="002A1558">
        <w:rPr>
          <w:rFonts w:ascii="Aptos" w:hAnsi="Aptos"/>
        </w:rPr>
        <w:lastRenderedPageBreak/>
        <w:pict w14:anchorId="40BF90E8">
          <v:rect id="_x0000_i1116" style="width:0;height:1.5pt" o:hralign="center" o:hrstd="t" o:hr="t" fillcolor="#a0a0a0" stroked="f"/>
        </w:pict>
      </w:r>
    </w:p>
    <w:p w14:paraId="34A6A281" w14:textId="75B0DA3A" w:rsidR="00CD5F4E" w:rsidRPr="002A1558" w:rsidRDefault="00CD5F4E" w:rsidP="002A1558">
      <w:pPr>
        <w:jc w:val="both"/>
        <w:rPr>
          <w:rFonts w:ascii="Aptos" w:hAnsi="Aptos"/>
          <w:b/>
          <w:bCs/>
          <w:sz w:val="28"/>
          <w:szCs w:val="28"/>
        </w:rPr>
      </w:pPr>
      <w:r w:rsidRPr="002A1558">
        <w:rPr>
          <w:rFonts w:ascii="Aptos" w:hAnsi="Aptos"/>
          <w:b/>
          <w:bCs/>
          <w:sz w:val="28"/>
          <w:szCs w:val="28"/>
        </w:rPr>
        <w:t>Important Filing Timelines for AY 2026–27</w:t>
      </w:r>
      <w:r w:rsidR="002A1558" w:rsidRPr="002A1558">
        <w:rPr>
          <w:rFonts w:ascii="Aptos" w:hAnsi="Aptos"/>
          <w:b/>
          <w:bCs/>
          <w:sz w:val="28"/>
          <w:szCs w:val="28"/>
        </w:rPr>
        <w:t xml:space="preserve"> relevant to FY 2025-26</w:t>
      </w:r>
    </w:p>
    <w:p w14:paraId="77B50328" w14:textId="77777777" w:rsidR="00CD5F4E" w:rsidRPr="002A1558" w:rsidRDefault="00CD5F4E" w:rsidP="002A1558">
      <w:pPr>
        <w:jc w:val="both"/>
        <w:rPr>
          <w:rFonts w:ascii="Aptos" w:hAnsi="Aptos"/>
        </w:rPr>
      </w:pPr>
      <w:r w:rsidRPr="002A1558">
        <w:rPr>
          <w:rFonts w:ascii="Aptos" w:hAnsi="Aptos"/>
        </w:rPr>
        <w:t>Timely filing assumes greater significance because delays can affect tax planning flexibility and may result in interest, fees, and restrictions on certain benefits.</w:t>
      </w:r>
    </w:p>
    <w:p w14:paraId="7646FCA1" w14:textId="77777777" w:rsidR="00CD5F4E" w:rsidRPr="002A1558" w:rsidRDefault="00CD5F4E" w:rsidP="002A1558">
      <w:pPr>
        <w:jc w:val="both"/>
        <w:rPr>
          <w:rFonts w:ascii="Aptos" w:hAnsi="Aptos"/>
        </w:rPr>
      </w:pPr>
      <w:r w:rsidRPr="002A1558">
        <w:rPr>
          <w:rFonts w:ascii="Aptos" w:hAnsi="Aptos"/>
        </w:rPr>
        <w:t>Key filing timelines include:</w:t>
      </w:r>
    </w:p>
    <w:p w14:paraId="1C56AA4C" w14:textId="77777777" w:rsidR="00CD5F4E" w:rsidRPr="002A1558" w:rsidRDefault="00CD5F4E" w:rsidP="002A1558">
      <w:pPr>
        <w:jc w:val="both"/>
        <w:rPr>
          <w:rFonts w:ascii="Aptos" w:hAnsi="Aptos"/>
        </w:rPr>
      </w:pPr>
      <w:r w:rsidRPr="002A1558">
        <w:rPr>
          <w:rFonts w:ascii="Aptos" w:hAnsi="Aptos"/>
          <w:b/>
          <w:bCs/>
        </w:rPr>
        <w:t>31 July 2026</w:t>
      </w:r>
    </w:p>
    <w:p w14:paraId="43CFD830" w14:textId="77777777" w:rsidR="00CD5F4E" w:rsidRPr="002A1558" w:rsidRDefault="00CD5F4E" w:rsidP="002A1558">
      <w:pPr>
        <w:numPr>
          <w:ilvl w:val="0"/>
          <w:numId w:val="4"/>
        </w:numPr>
        <w:jc w:val="both"/>
        <w:rPr>
          <w:rFonts w:ascii="Aptos" w:hAnsi="Aptos"/>
        </w:rPr>
      </w:pPr>
      <w:r w:rsidRPr="002A1558">
        <w:rPr>
          <w:rFonts w:ascii="Aptos" w:hAnsi="Aptos"/>
        </w:rPr>
        <w:t xml:space="preserve">Salaried individuals </w:t>
      </w:r>
    </w:p>
    <w:p w14:paraId="17A57438" w14:textId="77777777" w:rsidR="00CD5F4E" w:rsidRPr="002A1558" w:rsidRDefault="00CD5F4E" w:rsidP="002A1558">
      <w:pPr>
        <w:numPr>
          <w:ilvl w:val="0"/>
          <w:numId w:val="4"/>
        </w:numPr>
        <w:jc w:val="both"/>
        <w:rPr>
          <w:rFonts w:ascii="Aptos" w:hAnsi="Aptos"/>
        </w:rPr>
      </w:pPr>
      <w:r w:rsidRPr="002A1558">
        <w:rPr>
          <w:rFonts w:ascii="Aptos" w:hAnsi="Aptos"/>
        </w:rPr>
        <w:t xml:space="preserve">Pensioners </w:t>
      </w:r>
    </w:p>
    <w:p w14:paraId="41684676" w14:textId="77777777" w:rsidR="00CD5F4E" w:rsidRPr="002A1558" w:rsidRDefault="00CD5F4E" w:rsidP="002A1558">
      <w:pPr>
        <w:numPr>
          <w:ilvl w:val="0"/>
          <w:numId w:val="4"/>
        </w:numPr>
        <w:jc w:val="both"/>
        <w:rPr>
          <w:rFonts w:ascii="Aptos" w:hAnsi="Aptos"/>
        </w:rPr>
      </w:pPr>
      <w:r w:rsidRPr="002A1558">
        <w:rPr>
          <w:rFonts w:ascii="Aptos" w:hAnsi="Aptos"/>
        </w:rPr>
        <w:t xml:space="preserve">Non-audit taxpayers filing ITR-1 or ITR-2 </w:t>
      </w:r>
    </w:p>
    <w:p w14:paraId="5863E698" w14:textId="77777777" w:rsidR="00CD5F4E" w:rsidRPr="002A1558" w:rsidRDefault="00CD5F4E" w:rsidP="002A1558">
      <w:pPr>
        <w:jc w:val="both"/>
        <w:rPr>
          <w:rFonts w:ascii="Aptos" w:hAnsi="Aptos"/>
        </w:rPr>
      </w:pPr>
      <w:r w:rsidRPr="002A1558">
        <w:rPr>
          <w:rFonts w:ascii="Aptos" w:hAnsi="Aptos"/>
          <w:b/>
          <w:bCs/>
        </w:rPr>
        <w:t>31 August 2026</w:t>
      </w:r>
    </w:p>
    <w:p w14:paraId="0B924B3C" w14:textId="77777777" w:rsidR="00CD5F4E" w:rsidRPr="002A1558" w:rsidRDefault="00CD5F4E" w:rsidP="002A1558">
      <w:pPr>
        <w:numPr>
          <w:ilvl w:val="0"/>
          <w:numId w:val="5"/>
        </w:numPr>
        <w:jc w:val="both"/>
        <w:rPr>
          <w:rFonts w:ascii="Aptos" w:hAnsi="Aptos"/>
        </w:rPr>
      </w:pPr>
      <w:r w:rsidRPr="002A1558">
        <w:rPr>
          <w:rFonts w:ascii="Aptos" w:hAnsi="Aptos"/>
        </w:rPr>
        <w:t xml:space="preserve">Non-audit business and professional taxpayers filing ITR-3 or ITR-4 </w:t>
      </w:r>
    </w:p>
    <w:p w14:paraId="065CF380" w14:textId="77777777" w:rsidR="00CD5F4E" w:rsidRPr="002A1558" w:rsidRDefault="00CD5F4E" w:rsidP="002A1558">
      <w:pPr>
        <w:jc w:val="both"/>
        <w:rPr>
          <w:rFonts w:ascii="Aptos" w:hAnsi="Aptos"/>
        </w:rPr>
      </w:pPr>
      <w:r w:rsidRPr="002A1558">
        <w:rPr>
          <w:rFonts w:ascii="Aptos" w:hAnsi="Aptos"/>
          <w:b/>
          <w:bCs/>
        </w:rPr>
        <w:t>31 October 2026</w:t>
      </w:r>
    </w:p>
    <w:p w14:paraId="36F6198B" w14:textId="77777777" w:rsidR="00CD5F4E" w:rsidRPr="002A1558" w:rsidRDefault="00CD5F4E" w:rsidP="002A1558">
      <w:pPr>
        <w:numPr>
          <w:ilvl w:val="0"/>
          <w:numId w:val="6"/>
        </w:numPr>
        <w:jc w:val="both"/>
        <w:rPr>
          <w:rFonts w:ascii="Aptos" w:hAnsi="Aptos"/>
        </w:rPr>
      </w:pPr>
      <w:r w:rsidRPr="002A1558">
        <w:rPr>
          <w:rFonts w:ascii="Aptos" w:hAnsi="Aptos"/>
        </w:rPr>
        <w:t xml:space="preserve">Tax audit cases </w:t>
      </w:r>
    </w:p>
    <w:p w14:paraId="1A3EAB23" w14:textId="77777777" w:rsidR="00CD5F4E" w:rsidRPr="002A1558" w:rsidRDefault="00CD5F4E" w:rsidP="002A1558">
      <w:pPr>
        <w:jc w:val="both"/>
        <w:rPr>
          <w:rFonts w:ascii="Aptos" w:hAnsi="Aptos"/>
        </w:rPr>
      </w:pPr>
      <w:r w:rsidRPr="002A1558">
        <w:rPr>
          <w:rFonts w:ascii="Aptos" w:hAnsi="Aptos"/>
          <w:b/>
          <w:bCs/>
        </w:rPr>
        <w:t>30 November 2026</w:t>
      </w:r>
    </w:p>
    <w:p w14:paraId="713815AF" w14:textId="77777777" w:rsidR="00CD5F4E" w:rsidRPr="002A1558" w:rsidRDefault="00CD5F4E" w:rsidP="002A1558">
      <w:pPr>
        <w:numPr>
          <w:ilvl w:val="0"/>
          <w:numId w:val="7"/>
        </w:numPr>
        <w:jc w:val="both"/>
        <w:rPr>
          <w:rFonts w:ascii="Aptos" w:hAnsi="Aptos"/>
        </w:rPr>
      </w:pPr>
      <w:r w:rsidRPr="002A1558">
        <w:rPr>
          <w:rFonts w:ascii="Aptos" w:hAnsi="Aptos"/>
        </w:rPr>
        <w:t xml:space="preserve">Transfer pricing cases </w:t>
      </w:r>
    </w:p>
    <w:p w14:paraId="0FA4CEB7" w14:textId="77777777" w:rsidR="00CD5F4E" w:rsidRPr="002A1558" w:rsidRDefault="00CD5F4E" w:rsidP="002A1558">
      <w:pPr>
        <w:jc w:val="both"/>
        <w:rPr>
          <w:rFonts w:ascii="Aptos" w:hAnsi="Aptos"/>
        </w:rPr>
      </w:pPr>
      <w:r w:rsidRPr="002A1558">
        <w:rPr>
          <w:rFonts w:ascii="Aptos" w:hAnsi="Aptos"/>
          <w:b/>
          <w:bCs/>
        </w:rPr>
        <w:t>31 December 2026</w:t>
      </w:r>
    </w:p>
    <w:p w14:paraId="409B0AF0" w14:textId="77777777" w:rsidR="00CD5F4E" w:rsidRPr="002A1558" w:rsidRDefault="00CD5F4E" w:rsidP="002A1558">
      <w:pPr>
        <w:numPr>
          <w:ilvl w:val="0"/>
          <w:numId w:val="8"/>
        </w:numPr>
        <w:jc w:val="both"/>
        <w:rPr>
          <w:rFonts w:ascii="Aptos" w:hAnsi="Aptos"/>
        </w:rPr>
      </w:pPr>
      <w:r w:rsidRPr="002A1558">
        <w:rPr>
          <w:rFonts w:ascii="Aptos" w:hAnsi="Aptos"/>
        </w:rPr>
        <w:t xml:space="preserve">Belated returns </w:t>
      </w:r>
    </w:p>
    <w:p w14:paraId="16FF6578" w14:textId="77777777" w:rsidR="00CD5F4E" w:rsidRPr="002A1558" w:rsidRDefault="00CD5F4E" w:rsidP="002A1558">
      <w:pPr>
        <w:jc w:val="both"/>
        <w:rPr>
          <w:rFonts w:ascii="Aptos" w:hAnsi="Aptos"/>
        </w:rPr>
      </w:pPr>
      <w:r w:rsidRPr="002A1558">
        <w:rPr>
          <w:rFonts w:ascii="Aptos" w:hAnsi="Aptos"/>
          <w:b/>
          <w:bCs/>
        </w:rPr>
        <w:t>31 March 2027</w:t>
      </w:r>
    </w:p>
    <w:p w14:paraId="5EE45C9F" w14:textId="77777777" w:rsidR="00CD5F4E" w:rsidRPr="002A1558" w:rsidRDefault="00CD5F4E" w:rsidP="002A1558">
      <w:pPr>
        <w:numPr>
          <w:ilvl w:val="0"/>
          <w:numId w:val="9"/>
        </w:numPr>
        <w:jc w:val="both"/>
        <w:rPr>
          <w:rFonts w:ascii="Aptos" w:hAnsi="Aptos"/>
        </w:rPr>
      </w:pPr>
      <w:r w:rsidRPr="002A1558">
        <w:rPr>
          <w:rFonts w:ascii="Aptos" w:hAnsi="Aptos"/>
        </w:rPr>
        <w:t xml:space="preserve">Revised returns </w:t>
      </w:r>
    </w:p>
    <w:p w14:paraId="79C22A28" w14:textId="77777777" w:rsidR="00CD5F4E" w:rsidRPr="002A1558" w:rsidRDefault="00CD5F4E" w:rsidP="002A1558">
      <w:pPr>
        <w:jc w:val="both"/>
        <w:rPr>
          <w:rFonts w:ascii="Aptos" w:hAnsi="Aptos"/>
        </w:rPr>
      </w:pPr>
      <w:r w:rsidRPr="002A1558">
        <w:rPr>
          <w:rFonts w:ascii="Aptos" w:hAnsi="Aptos"/>
        </w:rPr>
        <w:pict w14:anchorId="1026DEC3">
          <v:rect id="_x0000_i1117" style="width:0;height:1.5pt" o:hralign="center" o:hrstd="t" o:hr="t" fillcolor="#a0a0a0" stroked="f"/>
        </w:pict>
      </w:r>
    </w:p>
    <w:p w14:paraId="28D83E0A" w14:textId="77777777" w:rsidR="00CD5F4E" w:rsidRPr="002A1558" w:rsidRDefault="00CD5F4E" w:rsidP="002A1558">
      <w:pPr>
        <w:jc w:val="both"/>
        <w:rPr>
          <w:rFonts w:ascii="Aptos" w:hAnsi="Aptos"/>
          <w:b/>
          <w:bCs/>
          <w:sz w:val="28"/>
          <w:szCs w:val="28"/>
        </w:rPr>
      </w:pPr>
      <w:r w:rsidRPr="002A1558">
        <w:rPr>
          <w:rFonts w:ascii="Aptos" w:hAnsi="Aptos"/>
          <w:b/>
          <w:bCs/>
          <w:sz w:val="28"/>
          <w:szCs w:val="28"/>
        </w:rPr>
        <w:t>Filing an ITR Is No Longer a Mere Data Entry Exercise</w:t>
      </w:r>
    </w:p>
    <w:p w14:paraId="0AD0C2B4" w14:textId="77777777" w:rsidR="00CD5F4E" w:rsidRPr="002A1558" w:rsidRDefault="00CD5F4E" w:rsidP="002A1558">
      <w:pPr>
        <w:jc w:val="both"/>
        <w:rPr>
          <w:rFonts w:ascii="Aptos" w:hAnsi="Aptos"/>
        </w:rPr>
      </w:pPr>
      <w:r w:rsidRPr="002A1558">
        <w:rPr>
          <w:rFonts w:ascii="Aptos" w:hAnsi="Aptos"/>
        </w:rPr>
        <w:t>In recent years, the Income Tax Department has significantly expanded its information collection and data analytics framework.</w:t>
      </w:r>
    </w:p>
    <w:p w14:paraId="05CA284B" w14:textId="77777777" w:rsidR="00CD5F4E" w:rsidRPr="002A1558" w:rsidRDefault="00CD5F4E" w:rsidP="002A1558">
      <w:pPr>
        <w:jc w:val="both"/>
        <w:rPr>
          <w:rFonts w:ascii="Aptos" w:hAnsi="Aptos"/>
        </w:rPr>
      </w:pPr>
      <w:r w:rsidRPr="002A1558">
        <w:rPr>
          <w:rFonts w:ascii="Aptos" w:hAnsi="Aptos"/>
        </w:rPr>
        <w:t>The Annual Information Statement (AIS) and Taxpayer Information Summary (TIS) now capture multiple financial transactions, including:</w:t>
      </w:r>
    </w:p>
    <w:p w14:paraId="377881DD" w14:textId="77777777" w:rsidR="00CD5F4E" w:rsidRPr="002A1558" w:rsidRDefault="00CD5F4E" w:rsidP="002A1558">
      <w:pPr>
        <w:numPr>
          <w:ilvl w:val="0"/>
          <w:numId w:val="10"/>
        </w:numPr>
        <w:jc w:val="both"/>
        <w:rPr>
          <w:rFonts w:ascii="Aptos" w:hAnsi="Aptos"/>
        </w:rPr>
      </w:pPr>
      <w:r w:rsidRPr="002A1558">
        <w:rPr>
          <w:rFonts w:ascii="Aptos" w:hAnsi="Aptos"/>
        </w:rPr>
        <w:t xml:space="preserve">Interest income </w:t>
      </w:r>
    </w:p>
    <w:p w14:paraId="251AD31A" w14:textId="77777777" w:rsidR="00CD5F4E" w:rsidRPr="002A1558" w:rsidRDefault="00CD5F4E" w:rsidP="002A1558">
      <w:pPr>
        <w:numPr>
          <w:ilvl w:val="0"/>
          <w:numId w:val="10"/>
        </w:numPr>
        <w:jc w:val="both"/>
        <w:rPr>
          <w:rFonts w:ascii="Aptos" w:hAnsi="Aptos"/>
        </w:rPr>
      </w:pPr>
      <w:r w:rsidRPr="002A1558">
        <w:rPr>
          <w:rFonts w:ascii="Aptos" w:hAnsi="Aptos"/>
        </w:rPr>
        <w:t xml:space="preserve">Dividend receipts </w:t>
      </w:r>
    </w:p>
    <w:p w14:paraId="112161CB" w14:textId="77777777" w:rsidR="00CD5F4E" w:rsidRPr="002A1558" w:rsidRDefault="00CD5F4E" w:rsidP="002A1558">
      <w:pPr>
        <w:numPr>
          <w:ilvl w:val="0"/>
          <w:numId w:val="10"/>
        </w:numPr>
        <w:jc w:val="both"/>
        <w:rPr>
          <w:rFonts w:ascii="Aptos" w:hAnsi="Aptos"/>
        </w:rPr>
      </w:pPr>
      <w:r w:rsidRPr="002A1558">
        <w:rPr>
          <w:rFonts w:ascii="Aptos" w:hAnsi="Aptos"/>
        </w:rPr>
        <w:t xml:space="preserve">Securities transactions </w:t>
      </w:r>
    </w:p>
    <w:p w14:paraId="48B157F3" w14:textId="77777777" w:rsidR="00CD5F4E" w:rsidRPr="002A1558" w:rsidRDefault="00CD5F4E" w:rsidP="002A1558">
      <w:pPr>
        <w:numPr>
          <w:ilvl w:val="0"/>
          <w:numId w:val="10"/>
        </w:numPr>
        <w:jc w:val="both"/>
        <w:rPr>
          <w:rFonts w:ascii="Aptos" w:hAnsi="Aptos"/>
        </w:rPr>
      </w:pPr>
      <w:r w:rsidRPr="002A1558">
        <w:rPr>
          <w:rFonts w:ascii="Aptos" w:hAnsi="Aptos"/>
        </w:rPr>
        <w:t xml:space="preserve">Mutual fund investments and redemptions </w:t>
      </w:r>
    </w:p>
    <w:p w14:paraId="5687EFC0" w14:textId="77777777" w:rsidR="00CD5F4E" w:rsidRPr="002A1558" w:rsidRDefault="00CD5F4E" w:rsidP="002A1558">
      <w:pPr>
        <w:numPr>
          <w:ilvl w:val="0"/>
          <w:numId w:val="10"/>
        </w:numPr>
        <w:jc w:val="both"/>
        <w:rPr>
          <w:rFonts w:ascii="Aptos" w:hAnsi="Aptos"/>
        </w:rPr>
      </w:pPr>
      <w:r w:rsidRPr="002A1558">
        <w:rPr>
          <w:rFonts w:ascii="Aptos" w:hAnsi="Aptos"/>
        </w:rPr>
        <w:lastRenderedPageBreak/>
        <w:t xml:space="preserve">Property transactions </w:t>
      </w:r>
    </w:p>
    <w:p w14:paraId="380576DC" w14:textId="77777777" w:rsidR="00CD5F4E" w:rsidRPr="002A1558" w:rsidRDefault="00CD5F4E" w:rsidP="002A1558">
      <w:pPr>
        <w:numPr>
          <w:ilvl w:val="0"/>
          <w:numId w:val="10"/>
        </w:numPr>
        <w:jc w:val="both"/>
        <w:rPr>
          <w:rFonts w:ascii="Aptos" w:hAnsi="Aptos"/>
        </w:rPr>
      </w:pPr>
      <w:r w:rsidRPr="002A1558">
        <w:rPr>
          <w:rFonts w:ascii="Aptos" w:hAnsi="Aptos"/>
        </w:rPr>
        <w:t xml:space="preserve">High-value financial activities </w:t>
      </w:r>
    </w:p>
    <w:p w14:paraId="44ADB528" w14:textId="77777777" w:rsidR="00CD5F4E" w:rsidRPr="002A1558" w:rsidRDefault="00CD5F4E" w:rsidP="002A1558">
      <w:pPr>
        <w:numPr>
          <w:ilvl w:val="0"/>
          <w:numId w:val="10"/>
        </w:numPr>
        <w:jc w:val="both"/>
        <w:rPr>
          <w:rFonts w:ascii="Aptos" w:hAnsi="Aptos"/>
        </w:rPr>
      </w:pPr>
      <w:r w:rsidRPr="002A1558">
        <w:rPr>
          <w:rFonts w:ascii="Aptos" w:hAnsi="Aptos"/>
        </w:rPr>
        <w:t xml:space="preserve">Tax deducted at source (TDS) </w:t>
      </w:r>
    </w:p>
    <w:p w14:paraId="570B9433" w14:textId="77777777" w:rsidR="00CD5F4E" w:rsidRPr="002A1558" w:rsidRDefault="00CD5F4E" w:rsidP="002A1558">
      <w:pPr>
        <w:jc w:val="both"/>
        <w:rPr>
          <w:rFonts w:ascii="Aptos" w:hAnsi="Aptos"/>
        </w:rPr>
      </w:pPr>
      <w:r w:rsidRPr="002A1558">
        <w:rPr>
          <w:rFonts w:ascii="Aptos" w:hAnsi="Aptos"/>
        </w:rPr>
        <w:t>Many taxpayers assume that pre-filled information available on the portal is completely accurate. However, practical experience suggests otherwise.</w:t>
      </w:r>
    </w:p>
    <w:p w14:paraId="72414C1B" w14:textId="77777777" w:rsidR="00CD5F4E" w:rsidRPr="002A1558" w:rsidRDefault="00CD5F4E" w:rsidP="002A1558">
      <w:pPr>
        <w:jc w:val="both"/>
        <w:rPr>
          <w:rFonts w:ascii="Aptos" w:hAnsi="Aptos"/>
        </w:rPr>
      </w:pPr>
      <w:r w:rsidRPr="002A1558">
        <w:rPr>
          <w:rFonts w:ascii="Aptos" w:hAnsi="Aptos"/>
        </w:rPr>
        <w:t>Common issues include:</w:t>
      </w:r>
    </w:p>
    <w:p w14:paraId="4E119102" w14:textId="77777777" w:rsidR="00CD5F4E" w:rsidRPr="002A1558" w:rsidRDefault="00CD5F4E" w:rsidP="002A1558">
      <w:pPr>
        <w:numPr>
          <w:ilvl w:val="0"/>
          <w:numId w:val="11"/>
        </w:numPr>
        <w:jc w:val="both"/>
        <w:rPr>
          <w:rFonts w:ascii="Aptos" w:hAnsi="Aptos"/>
        </w:rPr>
      </w:pPr>
      <w:r w:rsidRPr="002A1558">
        <w:rPr>
          <w:rFonts w:ascii="Aptos" w:hAnsi="Aptos"/>
        </w:rPr>
        <w:t xml:space="preserve">Incorrect reporting by banks or financial institutions </w:t>
      </w:r>
    </w:p>
    <w:p w14:paraId="12F4D478" w14:textId="77777777" w:rsidR="00CD5F4E" w:rsidRPr="002A1558" w:rsidRDefault="00CD5F4E" w:rsidP="002A1558">
      <w:pPr>
        <w:numPr>
          <w:ilvl w:val="0"/>
          <w:numId w:val="11"/>
        </w:numPr>
        <w:jc w:val="both"/>
        <w:rPr>
          <w:rFonts w:ascii="Aptos" w:hAnsi="Aptos"/>
        </w:rPr>
      </w:pPr>
      <w:r w:rsidRPr="002A1558">
        <w:rPr>
          <w:rFonts w:ascii="Aptos" w:hAnsi="Aptos"/>
        </w:rPr>
        <w:t xml:space="preserve">Duplicate entries </w:t>
      </w:r>
    </w:p>
    <w:p w14:paraId="5587B1CB" w14:textId="77777777" w:rsidR="00CD5F4E" w:rsidRPr="002A1558" w:rsidRDefault="00CD5F4E" w:rsidP="002A1558">
      <w:pPr>
        <w:numPr>
          <w:ilvl w:val="0"/>
          <w:numId w:val="11"/>
        </w:numPr>
        <w:jc w:val="both"/>
        <w:rPr>
          <w:rFonts w:ascii="Aptos" w:hAnsi="Aptos"/>
        </w:rPr>
      </w:pPr>
      <w:r w:rsidRPr="002A1558">
        <w:rPr>
          <w:rFonts w:ascii="Aptos" w:hAnsi="Aptos"/>
        </w:rPr>
        <w:t xml:space="preserve">Mismatch between Form 26AS and AIS </w:t>
      </w:r>
    </w:p>
    <w:p w14:paraId="51BCAD69" w14:textId="77777777" w:rsidR="00CD5F4E" w:rsidRPr="002A1558" w:rsidRDefault="00CD5F4E" w:rsidP="002A1558">
      <w:pPr>
        <w:numPr>
          <w:ilvl w:val="0"/>
          <w:numId w:val="11"/>
        </w:numPr>
        <w:jc w:val="both"/>
        <w:rPr>
          <w:rFonts w:ascii="Aptos" w:hAnsi="Aptos"/>
        </w:rPr>
      </w:pPr>
      <w:r w:rsidRPr="002A1558">
        <w:rPr>
          <w:rFonts w:ascii="Aptos" w:hAnsi="Aptos"/>
        </w:rPr>
        <w:t xml:space="preserve">Unreported capital gains </w:t>
      </w:r>
    </w:p>
    <w:p w14:paraId="4E5567DD" w14:textId="77777777" w:rsidR="00CD5F4E" w:rsidRPr="002A1558" w:rsidRDefault="00CD5F4E" w:rsidP="002A1558">
      <w:pPr>
        <w:numPr>
          <w:ilvl w:val="0"/>
          <w:numId w:val="11"/>
        </w:numPr>
        <w:jc w:val="both"/>
        <w:rPr>
          <w:rFonts w:ascii="Aptos" w:hAnsi="Aptos"/>
        </w:rPr>
      </w:pPr>
      <w:r w:rsidRPr="002A1558">
        <w:rPr>
          <w:rFonts w:ascii="Aptos" w:hAnsi="Aptos"/>
        </w:rPr>
        <w:t xml:space="preserve">Incorrect TDS mapping </w:t>
      </w:r>
    </w:p>
    <w:p w14:paraId="3D7E7781" w14:textId="77777777" w:rsidR="00CD5F4E" w:rsidRPr="002A1558" w:rsidRDefault="00CD5F4E" w:rsidP="002A1558">
      <w:pPr>
        <w:numPr>
          <w:ilvl w:val="0"/>
          <w:numId w:val="11"/>
        </w:numPr>
        <w:jc w:val="both"/>
        <w:rPr>
          <w:rFonts w:ascii="Aptos" w:hAnsi="Aptos"/>
        </w:rPr>
      </w:pPr>
      <w:r w:rsidRPr="002A1558">
        <w:rPr>
          <w:rFonts w:ascii="Aptos" w:hAnsi="Aptos"/>
        </w:rPr>
        <w:t xml:space="preserve">Missing exemptions or deductions </w:t>
      </w:r>
    </w:p>
    <w:p w14:paraId="37BB711F" w14:textId="77777777" w:rsidR="00CD5F4E" w:rsidRPr="002A1558" w:rsidRDefault="00CD5F4E" w:rsidP="002A1558">
      <w:pPr>
        <w:jc w:val="both"/>
        <w:rPr>
          <w:rFonts w:ascii="Aptos" w:hAnsi="Aptos"/>
        </w:rPr>
      </w:pPr>
      <w:r w:rsidRPr="002A1558">
        <w:rPr>
          <w:rFonts w:ascii="Aptos" w:hAnsi="Aptos"/>
        </w:rPr>
        <w:t>Accepting portal data without independent verification can create future compliance issues.</w:t>
      </w:r>
    </w:p>
    <w:p w14:paraId="2CEF8343" w14:textId="77777777" w:rsidR="00CD5F4E" w:rsidRPr="002A1558" w:rsidRDefault="00CD5F4E" w:rsidP="002A1558">
      <w:pPr>
        <w:jc w:val="both"/>
        <w:rPr>
          <w:rFonts w:ascii="Aptos" w:hAnsi="Aptos"/>
        </w:rPr>
      </w:pPr>
      <w:r w:rsidRPr="002A1558">
        <w:rPr>
          <w:rFonts w:ascii="Aptos" w:hAnsi="Aptos"/>
        </w:rPr>
        <w:t>This is where professional review becomes important.</w:t>
      </w:r>
    </w:p>
    <w:p w14:paraId="7B8B6260" w14:textId="77777777" w:rsidR="00CD5F4E" w:rsidRPr="002A1558" w:rsidRDefault="00CD5F4E" w:rsidP="002A1558">
      <w:pPr>
        <w:jc w:val="both"/>
        <w:rPr>
          <w:rFonts w:ascii="Aptos" w:hAnsi="Aptos"/>
        </w:rPr>
      </w:pPr>
      <w:r w:rsidRPr="002A1558">
        <w:rPr>
          <w:rFonts w:ascii="Aptos" w:hAnsi="Aptos"/>
        </w:rPr>
        <w:pict w14:anchorId="3E3CA772">
          <v:rect id="_x0000_i1118" style="width:0;height:1.5pt" o:hralign="center" o:hrstd="t" o:hr="t" fillcolor="#a0a0a0" stroked="f"/>
        </w:pict>
      </w:r>
    </w:p>
    <w:p w14:paraId="2D49F031" w14:textId="35ED9A41" w:rsidR="00CD5F4E" w:rsidRPr="002A1558" w:rsidRDefault="00CD5F4E" w:rsidP="002A1558">
      <w:pPr>
        <w:jc w:val="both"/>
        <w:rPr>
          <w:rFonts w:ascii="Aptos" w:hAnsi="Aptos"/>
          <w:b/>
          <w:bCs/>
          <w:sz w:val="28"/>
          <w:szCs w:val="28"/>
        </w:rPr>
      </w:pPr>
      <w:r w:rsidRPr="002A1558">
        <w:rPr>
          <w:rFonts w:ascii="Aptos" w:hAnsi="Aptos"/>
          <w:b/>
          <w:bCs/>
          <w:sz w:val="28"/>
          <w:szCs w:val="28"/>
          <w:highlight w:val="yellow"/>
        </w:rPr>
        <w:t>Areas Where Chartered Accountants</w:t>
      </w:r>
      <w:r w:rsidR="002A1558" w:rsidRPr="002A1558">
        <w:rPr>
          <w:rFonts w:ascii="Aptos" w:hAnsi="Aptos"/>
          <w:b/>
          <w:bCs/>
          <w:sz w:val="28"/>
          <w:szCs w:val="28"/>
          <w:highlight w:val="yellow"/>
        </w:rPr>
        <w:t>/Tax Professionals</w:t>
      </w:r>
      <w:r w:rsidRPr="002A1558">
        <w:rPr>
          <w:rFonts w:ascii="Aptos" w:hAnsi="Aptos"/>
          <w:b/>
          <w:bCs/>
          <w:sz w:val="28"/>
          <w:szCs w:val="28"/>
          <w:highlight w:val="yellow"/>
        </w:rPr>
        <w:t xml:space="preserve"> Add Significant Value</w:t>
      </w:r>
    </w:p>
    <w:p w14:paraId="08905043" w14:textId="77777777" w:rsidR="00CD5F4E" w:rsidRPr="002A1558" w:rsidRDefault="00CD5F4E" w:rsidP="002A1558">
      <w:pPr>
        <w:jc w:val="both"/>
        <w:rPr>
          <w:rFonts w:ascii="Aptos" w:hAnsi="Aptos"/>
        </w:rPr>
      </w:pPr>
      <w:r w:rsidRPr="002A1558">
        <w:rPr>
          <w:rFonts w:ascii="Aptos" w:hAnsi="Aptos"/>
        </w:rPr>
        <w:t>A tax return today reflects far more than annual income disclosure. It creates a financial profile that may subsequently be reviewed during assessments, loan applications, visa processing, funding exercises, and other regulatory examinations.</w:t>
      </w:r>
    </w:p>
    <w:p w14:paraId="2363C041" w14:textId="77777777" w:rsidR="00CD5F4E" w:rsidRPr="002A1558" w:rsidRDefault="00CD5F4E" w:rsidP="002A1558">
      <w:pPr>
        <w:jc w:val="both"/>
        <w:rPr>
          <w:rFonts w:ascii="Aptos" w:hAnsi="Aptos"/>
        </w:rPr>
      </w:pPr>
      <w:r w:rsidRPr="002A1558">
        <w:rPr>
          <w:rFonts w:ascii="Aptos" w:hAnsi="Aptos"/>
        </w:rPr>
        <w:t>Professional involvement helps taxpayers address several critical aspects:</w:t>
      </w:r>
    </w:p>
    <w:p w14:paraId="44D35401" w14:textId="77777777" w:rsidR="00CD5F4E" w:rsidRPr="002A1558" w:rsidRDefault="00CD5F4E" w:rsidP="002A1558">
      <w:pPr>
        <w:jc w:val="both"/>
        <w:rPr>
          <w:rFonts w:ascii="Aptos" w:hAnsi="Aptos"/>
          <w:b/>
          <w:bCs/>
        </w:rPr>
      </w:pPr>
      <w:r w:rsidRPr="002A1558">
        <w:rPr>
          <w:rFonts w:ascii="Aptos" w:hAnsi="Aptos"/>
          <w:b/>
          <w:bCs/>
        </w:rPr>
        <w:t>Selection of Correct ITR Form</w:t>
      </w:r>
    </w:p>
    <w:p w14:paraId="7A4A94C2" w14:textId="77777777" w:rsidR="00CD5F4E" w:rsidRPr="002A1558" w:rsidRDefault="00CD5F4E" w:rsidP="002A1558">
      <w:pPr>
        <w:jc w:val="both"/>
        <w:rPr>
          <w:rFonts w:ascii="Aptos" w:hAnsi="Aptos"/>
        </w:rPr>
      </w:pPr>
      <w:r w:rsidRPr="002A1558">
        <w:rPr>
          <w:rFonts w:ascii="Aptos" w:hAnsi="Aptos"/>
        </w:rPr>
        <w:t>Incorrect form selection may render a return defective or invalid.</w:t>
      </w:r>
    </w:p>
    <w:p w14:paraId="1A39D3FC" w14:textId="77777777" w:rsidR="00CD5F4E" w:rsidRPr="002A1558" w:rsidRDefault="00CD5F4E" w:rsidP="002A1558">
      <w:pPr>
        <w:jc w:val="both"/>
        <w:rPr>
          <w:rFonts w:ascii="Aptos" w:hAnsi="Aptos"/>
        </w:rPr>
      </w:pPr>
      <w:r w:rsidRPr="002A1558">
        <w:rPr>
          <w:rFonts w:ascii="Aptos" w:hAnsi="Aptos"/>
        </w:rPr>
        <w:t>Tax professionals assess:</w:t>
      </w:r>
    </w:p>
    <w:p w14:paraId="3786279D" w14:textId="77777777" w:rsidR="00CD5F4E" w:rsidRPr="002A1558" w:rsidRDefault="00CD5F4E" w:rsidP="002A1558">
      <w:pPr>
        <w:numPr>
          <w:ilvl w:val="0"/>
          <w:numId w:val="12"/>
        </w:numPr>
        <w:jc w:val="both"/>
        <w:rPr>
          <w:rFonts w:ascii="Aptos" w:hAnsi="Aptos"/>
        </w:rPr>
      </w:pPr>
      <w:r w:rsidRPr="002A1558">
        <w:rPr>
          <w:rFonts w:ascii="Aptos" w:hAnsi="Aptos"/>
        </w:rPr>
        <w:t xml:space="preserve">Nature of income </w:t>
      </w:r>
    </w:p>
    <w:p w14:paraId="30AA8D4D" w14:textId="77777777" w:rsidR="00CD5F4E" w:rsidRPr="002A1558" w:rsidRDefault="00CD5F4E" w:rsidP="002A1558">
      <w:pPr>
        <w:numPr>
          <w:ilvl w:val="0"/>
          <w:numId w:val="12"/>
        </w:numPr>
        <w:jc w:val="both"/>
        <w:rPr>
          <w:rFonts w:ascii="Aptos" w:hAnsi="Aptos"/>
        </w:rPr>
      </w:pPr>
      <w:r w:rsidRPr="002A1558">
        <w:rPr>
          <w:rFonts w:ascii="Aptos" w:hAnsi="Aptos"/>
        </w:rPr>
        <w:t xml:space="preserve">Capital gains implications </w:t>
      </w:r>
    </w:p>
    <w:p w14:paraId="19FB7F98" w14:textId="77777777" w:rsidR="00CD5F4E" w:rsidRPr="002A1558" w:rsidRDefault="00CD5F4E" w:rsidP="002A1558">
      <w:pPr>
        <w:numPr>
          <w:ilvl w:val="0"/>
          <w:numId w:val="12"/>
        </w:numPr>
        <w:jc w:val="both"/>
        <w:rPr>
          <w:rFonts w:ascii="Aptos" w:hAnsi="Aptos"/>
        </w:rPr>
      </w:pPr>
      <w:r w:rsidRPr="002A1558">
        <w:rPr>
          <w:rFonts w:ascii="Aptos" w:hAnsi="Aptos"/>
        </w:rPr>
        <w:t xml:space="preserve">Foreign assets and foreign income reporting </w:t>
      </w:r>
    </w:p>
    <w:p w14:paraId="605A9BAB" w14:textId="77777777" w:rsidR="00CD5F4E" w:rsidRPr="002A1558" w:rsidRDefault="00CD5F4E" w:rsidP="002A1558">
      <w:pPr>
        <w:numPr>
          <w:ilvl w:val="0"/>
          <w:numId w:val="12"/>
        </w:numPr>
        <w:jc w:val="both"/>
        <w:rPr>
          <w:rFonts w:ascii="Aptos" w:hAnsi="Aptos"/>
        </w:rPr>
      </w:pPr>
      <w:r w:rsidRPr="002A1558">
        <w:rPr>
          <w:rFonts w:ascii="Aptos" w:hAnsi="Aptos"/>
        </w:rPr>
        <w:t xml:space="preserve">Business or professional income </w:t>
      </w:r>
    </w:p>
    <w:p w14:paraId="0F12EAD5" w14:textId="77777777" w:rsidR="00CD5F4E" w:rsidRPr="002A1558" w:rsidRDefault="00CD5F4E" w:rsidP="002A1558">
      <w:pPr>
        <w:numPr>
          <w:ilvl w:val="0"/>
          <w:numId w:val="12"/>
        </w:numPr>
        <w:jc w:val="both"/>
        <w:rPr>
          <w:rFonts w:ascii="Aptos" w:hAnsi="Aptos"/>
        </w:rPr>
      </w:pPr>
      <w:r w:rsidRPr="002A1558">
        <w:rPr>
          <w:rFonts w:ascii="Aptos" w:hAnsi="Aptos"/>
        </w:rPr>
        <w:lastRenderedPageBreak/>
        <w:t xml:space="preserve">Presumptive taxation applicability </w:t>
      </w:r>
    </w:p>
    <w:p w14:paraId="63C79C95" w14:textId="77777777" w:rsidR="00CD5F4E" w:rsidRPr="002A1558" w:rsidRDefault="00CD5F4E" w:rsidP="002A1558">
      <w:pPr>
        <w:numPr>
          <w:ilvl w:val="0"/>
          <w:numId w:val="12"/>
        </w:numPr>
        <w:jc w:val="both"/>
        <w:rPr>
          <w:rFonts w:ascii="Aptos" w:hAnsi="Aptos"/>
        </w:rPr>
      </w:pPr>
      <w:r w:rsidRPr="002A1558">
        <w:rPr>
          <w:rFonts w:ascii="Aptos" w:hAnsi="Aptos"/>
        </w:rPr>
        <w:t xml:space="preserve">Partnership and investment interests </w:t>
      </w:r>
    </w:p>
    <w:p w14:paraId="7BCEEA99" w14:textId="77777777" w:rsidR="00CD5F4E" w:rsidRPr="002A1558" w:rsidRDefault="00CD5F4E" w:rsidP="002A1558">
      <w:pPr>
        <w:jc w:val="both"/>
        <w:rPr>
          <w:rFonts w:ascii="Aptos" w:hAnsi="Aptos"/>
        </w:rPr>
      </w:pPr>
      <w:r w:rsidRPr="002A1558">
        <w:rPr>
          <w:rFonts w:ascii="Aptos" w:hAnsi="Aptos"/>
        </w:rPr>
        <w:pict w14:anchorId="37F09AA1">
          <v:rect id="_x0000_i1119" style="width:0;height:1.5pt" o:hralign="center" o:hrstd="t" o:hr="t" fillcolor="#a0a0a0" stroked="f"/>
        </w:pict>
      </w:r>
    </w:p>
    <w:p w14:paraId="4C0AF40E" w14:textId="77777777" w:rsidR="00CD5F4E" w:rsidRPr="002A1558" w:rsidRDefault="00CD5F4E" w:rsidP="002A1558">
      <w:pPr>
        <w:jc w:val="both"/>
        <w:rPr>
          <w:rFonts w:ascii="Aptos" w:hAnsi="Aptos"/>
          <w:b/>
          <w:bCs/>
        </w:rPr>
      </w:pPr>
      <w:r w:rsidRPr="002A1558">
        <w:rPr>
          <w:rFonts w:ascii="Aptos" w:hAnsi="Aptos"/>
          <w:b/>
          <w:bCs/>
        </w:rPr>
        <w:t>Tax Regime Evaluation</w:t>
      </w:r>
    </w:p>
    <w:p w14:paraId="5B419C52" w14:textId="77777777" w:rsidR="00CD5F4E" w:rsidRPr="002A1558" w:rsidRDefault="00CD5F4E" w:rsidP="002A1558">
      <w:pPr>
        <w:jc w:val="both"/>
        <w:rPr>
          <w:rFonts w:ascii="Aptos" w:hAnsi="Aptos"/>
        </w:rPr>
      </w:pPr>
      <w:r w:rsidRPr="002A1558">
        <w:rPr>
          <w:rFonts w:ascii="Aptos" w:hAnsi="Aptos"/>
        </w:rPr>
        <w:t>The new tax regime continues as the default framework. However, the most suitable option varies depending upon:</w:t>
      </w:r>
    </w:p>
    <w:p w14:paraId="7F16CA74" w14:textId="77777777" w:rsidR="00CD5F4E" w:rsidRPr="002A1558" w:rsidRDefault="00CD5F4E" w:rsidP="002A1558">
      <w:pPr>
        <w:numPr>
          <w:ilvl w:val="0"/>
          <w:numId w:val="13"/>
        </w:numPr>
        <w:jc w:val="both"/>
        <w:rPr>
          <w:rFonts w:ascii="Aptos" w:hAnsi="Aptos"/>
        </w:rPr>
      </w:pPr>
      <w:r w:rsidRPr="002A1558">
        <w:rPr>
          <w:rFonts w:ascii="Aptos" w:hAnsi="Aptos"/>
        </w:rPr>
        <w:t xml:space="preserve">Salary structure </w:t>
      </w:r>
    </w:p>
    <w:p w14:paraId="2861CE16" w14:textId="77777777" w:rsidR="00CD5F4E" w:rsidRPr="002A1558" w:rsidRDefault="00CD5F4E" w:rsidP="002A1558">
      <w:pPr>
        <w:numPr>
          <w:ilvl w:val="0"/>
          <w:numId w:val="13"/>
        </w:numPr>
        <w:jc w:val="both"/>
        <w:rPr>
          <w:rFonts w:ascii="Aptos" w:hAnsi="Aptos"/>
        </w:rPr>
      </w:pPr>
      <w:r w:rsidRPr="002A1558">
        <w:rPr>
          <w:rFonts w:ascii="Aptos" w:hAnsi="Aptos"/>
        </w:rPr>
        <w:t xml:space="preserve">Housing loan benefits </w:t>
      </w:r>
    </w:p>
    <w:p w14:paraId="4B2BE4E7" w14:textId="77777777" w:rsidR="00CD5F4E" w:rsidRPr="002A1558" w:rsidRDefault="00CD5F4E" w:rsidP="002A1558">
      <w:pPr>
        <w:numPr>
          <w:ilvl w:val="0"/>
          <w:numId w:val="13"/>
        </w:numPr>
        <w:jc w:val="both"/>
        <w:rPr>
          <w:rFonts w:ascii="Aptos" w:hAnsi="Aptos"/>
        </w:rPr>
      </w:pPr>
      <w:r w:rsidRPr="002A1558">
        <w:rPr>
          <w:rFonts w:ascii="Aptos" w:hAnsi="Aptos"/>
        </w:rPr>
        <w:t xml:space="preserve">Eligible deductions </w:t>
      </w:r>
    </w:p>
    <w:p w14:paraId="6DF9539F" w14:textId="77777777" w:rsidR="00CD5F4E" w:rsidRPr="002A1558" w:rsidRDefault="00CD5F4E" w:rsidP="002A1558">
      <w:pPr>
        <w:numPr>
          <w:ilvl w:val="0"/>
          <w:numId w:val="13"/>
        </w:numPr>
        <w:jc w:val="both"/>
        <w:rPr>
          <w:rFonts w:ascii="Aptos" w:hAnsi="Aptos"/>
        </w:rPr>
      </w:pPr>
      <w:r w:rsidRPr="002A1558">
        <w:rPr>
          <w:rFonts w:ascii="Aptos" w:hAnsi="Aptos"/>
        </w:rPr>
        <w:t xml:space="preserve">Investment profile </w:t>
      </w:r>
    </w:p>
    <w:p w14:paraId="1109F593" w14:textId="77777777" w:rsidR="00CD5F4E" w:rsidRPr="002A1558" w:rsidRDefault="00CD5F4E" w:rsidP="002A1558">
      <w:pPr>
        <w:numPr>
          <w:ilvl w:val="0"/>
          <w:numId w:val="13"/>
        </w:numPr>
        <w:jc w:val="both"/>
        <w:rPr>
          <w:rFonts w:ascii="Aptos" w:hAnsi="Aptos"/>
        </w:rPr>
      </w:pPr>
      <w:r w:rsidRPr="002A1558">
        <w:rPr>
          <w:rFonts w:ascii="Aptos" w:hAnsi="Aptos"/>
        </w:rPr>
        <w:t xml:space="preserve">Business income considerations </w:t>
      </w:r>
    </w:p>
    <w:p w14:paraId="461EB0CA" w14:textId="77777777" w:rsidR="00CD5F4E" w:rsidRPr="002A1558" w:rsidRDefault="00CD5F4E" w:rsidP="002A1558">
      <w:pPr>
        <w:jc w:val="both"/>
        <w:rPr>
          <w:rFonts w:ascii="Aptos" w:hAnsi="Aptos"/>
        </w:rPr>
      </w:pPr>
      <w:r w:rsidRPr="002A1558">
        <w:rPr>
          <w:rFonts w:ascii="Aptos" w:hAnsi="Aptos"/>
        </w:rPr>
        <w:t>Professional evaluation can identify the option resulting in optimal tax efficiency.</w:t>
      </w:r>
    </w:p>
    <w:p w14:paraId="22710B8D" w14:textId="77777777" w:rsidR="00CD5F4E" w:rsidRPr="002A1558" w:rsidRDefault="00CD5F4E" w:rsidP="002A1558">
      <w:pPr>
        <w:jc w:val="both"/>
        <w:rPr>
          <w:rFonts w:ascii="Aptos" w:hAnsi="Aptos"/>
        </w:rPr>
      </w:pPr>
      <w:r w:rsidRPr="002A1558">
        <w:rPr>
          <w:rFonts w:ascii="Aptos" w:hAnsi="Aptos"/>
        </w:rPr>
        <w:pict w14:anchorId="2468E0A4">
          <v:rect id="_x0000_i1120" style="width:0;height:1.5pt" o:hralign="center" o:hrstd="t" o:hr="t" fillcolor="#a0a0a0" stroked="f"/>
        </w:pict>
      </w:r>
    </w:p>
    <w:p w14:paraId="65D4F5B7" w14:textId="77777777" w:rsidR="00CD5F4E" w:rsidRPr="002A1558" w:rsidRDefault="00CD5F4E" w:rsidP="002A1558">
      <w:pPr>
        <w:jc w:val="both"/>
        <w:rPr>
          <w:rFonts w:ascii="Aptos" w:hAnsi="Aptos"/>
          <w:b/>
          <w:bCs/>
        </w:rPr>
      </w:pPr>
      <w:r w:rsidRPr="002A1558">
        <w:rPr>
          <w:rFonts w:ascii="Aptos" w:hAnsi="Aptos"/>
          <w:b/>
          <w:bCs/>
        </w:rPr>
        <w:t>Verification of AIS and TDS Information</w:t>
      </w:r>
    </w:p>
    <w:p w14:paraId="35E350FC" w14:textId="77777777" w:rsidR="00CD5F4E" w:rsidRPr="002A1558" w:rsidRDefault="00CD5F4E" w:rsidP="002A1558">
      <w:pPr>
        <w:jc w:val="both"/>
        <w:rPr>
          <w:rFonts w:ascii="Aptos" w:hAnsi="Aptos"/>
        </w:rPr>
      </w:pPr>
      <w:r w:rsidRPr="002A1558">
        <w:rPr>
          <w:rFonts w:ascii="Aptos" w:hAnsi="Aptos"/>
        </w:rPr>
        <w:t>Portal-generated information should not be accepted mechanically.</w:t>
      </w:r>
    </w:p>
    <w:p w14:paraId="6CA6B5C7" w14:textId="77777777" w:rsidR="00CD5F4E" w:rsidRPr="002A1558" w:rsidRDefault="00CD5F4E" w:rsidP="002A1558">
      <w:pPr>
        <w:jc w:val="both"/>
        <w:rPr>
          <w:rFonts w:ascii="Aptos" w:hAnsi="Aptos"/>
        </w:rPr>
      </w:pPr>
      <w:r w:rsidRPr="002A1558">
        <w:rPr>
          <w:rFonts w:ascii="Aptos" w:hAnsi="Aptos"/>
        </w:rPr>
        <w:t>A professional review generally includes:</w:t>
      </w:r>
    </w:p>
    <w:p w14:paraId="52987227" w14:textId="77777777" w:rsidR="00CD5F4E" w:rsidRPr="002A1558" w:rsidRDefault="00CD5F4E" w:rsidP="002A1558">
      <w:pPr>
        <w:numPr>
          <w:ilvl w:val="0"/>
          <w:numId w:val="14"/>
        </w:numPr>
        <w:jc w:val="both"/>
        <w:rPr>
          <w:rFonts w:ascii="Aptos" w:hAnsi="Aptos"/>
        </w:rPr>
      </w:pPr>
      <w:r w:rsidRPr="002A1558">
        <w:rPr>
          <w:rFonts w:ascii="Aptos" w:hAnsi="Aptos"/>
        </w:rPr>
        <w:t xml:space="preserve">Reconciliation with Form 26AS </w:t>
      </w:r>
    </w:p>
    <w:p w14:paraId="3D601A82" w14:textId="77777777" w:rsidR="00CD5F4E" w:rsidRPr="002A1558" w:rsidRDefault="00CD5F4E" w:rsidP="002A1558">
      <w:pPr>
        <w:numPr>
          <w:ilvl w:val="0"/>
          <w:numId w:val="14"/>
        </w:numPr>
        <w:jc w:val="both"/>
        <w:rPr>
          <w:rFonts w:ascii="Aptos" w:hAnsi="Aptos"/>
        </w:rPr>
      </w:pPr>
      <w:r w:rsidRPr="002A1558">
        <w:rPr>
          <w:rFonts w:ascii="Aptos" w:hAnsi="Aptos"/>
        </w:rPr>
        <w:t xml:space="preserve">Verification of TDS credits </w:t>
      </w:r>
    </w:p>
    <w:p w14:paraId="2AE5CCFD" w14:textId="77777777" w:rsidR="00CD5F4E" w:rsidRPr="002A1558" w:rsidRDefault="00CD5F4E" w:rsidP="002A1558">
      <w:pPr>
        <w:numPr>
          <w:ilvl w:val="0"/>
          <w:numId w:val="14"/>
        </w:numPr>
        <w:jc w:val="both"/>
        <w:rPr>
          <w:rFonts w:ascii="Aptos" w:hAnsi="Aptos"/>
        </w:rPr>
      </w:pPr>
      <w:r w:rsidRPr="002A1558">
        <w:rPr>
          <w:rFonts w:ascii="Aptos" w:hAnsi="Aptos"/>
        </w:rPr>
        <w:t xml:space="preserve">Capital gain computation review </w:t>
      </w:r>
    </w:p>
    <w:p w14:paraId="4CF5BEA1" w14:textId="77777777" w:rsidR="00CD5F4E" w:rsidRPr="002A1558" w:rsidRDefault="00CD5F4E" w:rsidP="002A1558">
      <w:pPr>
        <w:numPr>
          <w:ilvl w:val="0"/>
          <w:numId w:val="14"/>
        </w:numPr>
        <w:jc w:val="both"/>
        <w:rPr>
          <w:rFonts w:ascii="Aptos" w:hAnsi="Aptos"/>
        </w:rPr>
      </w:pPr>
      <w:r w:rsidRPr="002A1558">
        <w:rPr>
          <w:rFonts w:ascii="Aptos" w:hAnsi="Aptos"/>
        </w:rPr>
        <w:t xml:space="preserve">Identification of missing disclosures </w:t>
      </w:r>
    </w:p>
    <w:p w14:paraId="0A9F1396" w14:textId="77777777" w:rsidR="00CD5F4E" w:rsidRPr="002A1558" w:rsidRDefault="00CD5F4E" w:rsidP="002A1558">
      <w:pPr>
        <w:numPr>
          <w:ilvl w:val="0"/>
          <w:numId w:val="14"/>
        </w:numPr>
        <w:jc w:val="both"/>
        <w:rPr>
          <w:rFonts w:ascii="Aptos" w:hAnsi="Aptos"/>
        </w:rPr>
      </w:pPr>
      <w:r w:rsidRPr="002A1558">
        <w:rPr>
          <w:rFonts w:ascii="Aptos" w:hAnsi="Aptos"/>
        </w:rPr>
        <w:t xml:space="preserve">Validation of deductions and exemptions </w:t>
      </w:r>
    </w:p>
    <w:p w14:paraId="13BF26F4" w14:textId="77777777" w:rsidR="00CD5F4E" w:rsidRPr="002A1558" w:rsidRDefault="00CD5F4E" w:rsidP="002A1558">
      <w:pPr>
        <w:jc w:val="both"/>
        <w:rPr>
          <w:rFonts w:ascii="Aptos" w:hAnsi="Aptos"/>
        </w:rPr>
      </w:pPr>
      <w:r w:rsidRPr="002A1558">
        <w:rPr>
          <w:rFonts w:ascii="Aptos" w:hAnsi="Aptos"/>
        </w:rPr>
        <w:pict w14:anchorId="667EB85C">
          <v:rect id="_x0000_i1121" style="width:0;height:1.5pt" o:hralign="center" o:hrstd="t" o:hr="t" fillcolor="#a0a0a0" stroked="f"/>
        </w:pict>
      </w:r>
    </w:p>
    <w:p w14:paraId="274620BB" w14:textId="77777777" w:rsidR="00CD5F4E" w:rsidRPr="002A1558" w:rsidRDefault="00CD5F4E" w:rsidP="002A1558">
      <w:pPr>
        <w:jc w:val="both"/>
        <w:rPr>
          <w:rFonts w:ascii="Aptos" w:hAnsi="Aptos"/>
          <w:b/>
          <w:bCs/>
        </w:rPr>
      </w:pPr>
      <w:r w:rsidRPr="002A1558">
        <w:rPr>
          <w:rFonts w:ascii="Aptos" w:hAnsi="Aptos"/>
          <w:b/>
          <w:bCs/>
        </w:rPr>
        <w:t>Reducing Future Litigation Risk</w:t>
      </w:r>
    </w:p>
    <w:p w14:paraId="4862615A" w14:textId="77777777" w:rsidR="00CD5F4E" w:rsidRPr="002A1558" w:rsidRDefault="00CD5F4E" w:rsidP="002A1558">
      <w:pPr>
        <w:jc w:val="both"/>
        <w:rPr>
          <w:rFonts w:ascii="Aptos" w:hAnsi="Aptos"/>
        </w:rPr>
      </w:pPr>
      <w:r w:rsidRPr="002A1558">
        <w:rPr>
          <w:rFonts w:ascii="Aptos" w:hAnsi="Aptos"/>
        </w:rPr>
        <w:t>Tax notices increasingly arise from automated mismatch detection systems.</w:t>
      </w:r>
    </w:p>
    <w:p w14:paraId="013D951D" w14:textId="77777777" w:rsidR="00CD5F4E" w:rsidRPr="002A1558" w:rsidRDefault="00CD5F4E" w:rsidP="002A1558">
      <w:pPr>
        <w:jc w:val="both"/>
        <w:rPr>
          <w:rFonts w:ascii="Aptos" w:hAnsi="Aptos"/>
        </w:rPr>
      </w:pPr>
      <w:r w:rsidRPr="002A1558">
        <w:rPr>
          <w:rFonts w:ascii="Aptos" w:hAnsi="Aptos"/>
        </w:rPr>
        <w:t>Professional review assists in:</w:t>
      </w:r>
    </w:p>
    <w:p w14:paraId="328E1DBA" w14:textId="77777777" w:rsidR="00CD5F4E" w:rsidRPr="002A1558" w:rsidRDefault="00CD5F4E" w:rsidP="002A1558">
      <w:pPr>
        <w:numPr>
          <w:ilvl w:val="0"/>
          <w:numId w:val="15"/>
        </w:numPr>
        <w:jc w:val="both"/>
        <w:rPr>
          <w:rFonts w:ascii="Aptos" w:hAnsi="Aptos"/>
        </w:rPr>
      </w:pPr>
      <w:r w:rsidRPr="002A1558">
        <w:rPr>
          <w:rFonts w:ascii="Aptos" w:hAnsi="Aptos"/>
        </w:rPr>
        <w:t xml:space="preserve">Ensuring complete disclosure </w:t>
      </w:r>
    </w:p>
    <w:p w14:paraId="11173826" w14:textId="77777777" w:rsidR="00CD5F4E" w:rsidRPr="002A1558" w:rsidRDefault="00CD5F4E" w:rsidP="002A1558">
      <w:pPr>
        <w:numPr>
          <w:ilvl w:val="0"/>
          <w:numId w:val="15"/>
        </w:numPr>
        <w:jc w:val="both"/>
        <w:rPr>
          <w:rFonts w:ascii="Aptos" w:hAnsi="Aptos"/>
        </w:rPr>
      </w:pPr>
      <w:r w:rsidRPr="002A1558">
        <w:rPr>
          <w:rFonts w:ascii="Aptos" w:hAnsi="Aptos"/>
        </w:rPr>
        <w:t xml:space="preserve">Avoiding reporting inconsistencies </w:t>
      </w:r>
    </w:p>
    <w:p w14:paraId="42D1C509" w14:textId="77777777" w:rsidR="00CD5F4E" w:rsidRPr="002A1558" w:rsidRDefault="00CD5F4E" w:rsidP="002A1558">
      <w:pPr>
        <w:numPr>
          <w:ilvl w:val="0"/>
          <w:numId w:val="15"/>
        </w:numPr>
        <w:jc w:val="both"/>
        <w:rPr>
          <w:rFonts w:ascii="Aptos" w:hAnsi="Aptos"/>
        </w:rPr>
      </w:pPr>
      <w:r w:rsidRPr="002A1558">
        <w:rPr>
          <w:rFonts w:ascii="Aptos" w:hAnsi="Aptos"/>
        </w:rPr>
        <w:t xml:space="preserve">Supporting documentary evidence </w:t>
      </w:r>
    </w:p>
    <w:p w14:paraId="0480C772" w14:textId="77777777" w:rsidR="00CD5F4E" w:rsidRPr="002A1558" w:rsidRDefault="00CD5F4E" w:rsidP="002A1558">
      <w:pPr>
        <w:numPr>
          <w:ilvl w:val="0"/>
          <w:numId w:val="15"/>
        </w:numPr>
        <w:jc w:val="both"/>
        <w:rPr>
          <w:rFonts w:ascii="Aptos" w:hAnsi="Aptos"/>
        </w:rPr>
      </w:pPr>
      <w:r w:rsidRPr="002A1558">
        <w:rPr>
          <w:rFonts w:ascii="Aptos" w:hAnsi="Aptos"/>
        </w:rPr>
        <w:lastRenderedPageBreak/>
        <w:t xml:space="preserve">Proper treatment of complex transactions </w:t>
      </w:r>
    </w:p>
    <w:p w14:paraId="5B70220D" w14:textId="77777777" w:rsidR="00CD5F4E" w:rsidRPr="002A1558" w:rsidRDefault="00CD5F4E" w:rsidP="002A1558">
      <w:pPr>
        <w:jc w:val="both"/>
        <w:rPr>
          <w:rFonts w:ascii="Aptos" w:hAnsi="Aptos"/>
        </w:rPr>
      </w:pPr>
      <w:r w:rsidRPr="002A1558">
        <w:rPr>
          <w:rFonts w:ascii="Aptos" w:hAnsi="Aptos"/>
        </w:rPr>
        <w:t>Prevention is often less expensive than responding to notices later.</w:t>
      </w:r>
    </w:p>
    <w:p w14:paraId="77D72B0E" w14:textId="77777777" w:rsidR="00CD5F4E" w:rsidRPr="002A1558" w:rsidRDefault="00CD5F4E" w:rsidP="002A1558">
      <w:pPr>
        <w:jc w:val="both"/>
        <w:rPr>
          <w:rFonts w:ascii="Aptos" w:hAnsi="Aptos"/>
        </w:rPr>
      </w:pPr>
      <w:r w:rsidRPr="002A1558">
        <w:rPr>
          <w:rFonts w:ascii="Aptos" w:hAnsi="Aptos"/>
        </w:rPr>
        <w:pict w14:anchorId="267397E3">
          <v:rect id="_x0000_i1122" style="width:0;height:1.5pt" o:hralign="center" o:hrstd="t" o:hr="t" fillcolor="#a0a0a0" stroked="f"/>
        </w:pict>
      </w:r>
    </w:p>
    <w:p w14:paraId="149BAC3A" w14:textId="77777777" w:rsidR="00CD5F4E" w:rsidRPr="002A1558" w:rsidRDefault="00CD5F4E" w:rsidP="002A1558">
      <w:pPr>
        <w:jc w:val="both"/>
        <w:rPr>
          <w:rFonts w:ascii="Aptos" w:hAnsi="Aptos"/>
          <w:b/>
          <w:bCs/>
          <w:sz w:val="28"/>
          <w:szCs w:val="28"/>
        </w:rPr>
      </w:pPr>
      <w:r w:rsidRPr="002A1558">
        <w:rPr>
          <w:rFonts w:ascii="Aptos" w:hAnsi="Aptos"/>
          <w:b/>
          <w:bCs/>
          <w:sz w:val="28"/>
          <w:szCs w:val="28"/>
        </w:rPr>
        <w:t>Practical Checklist Before Filing Your Return</w:t>
      </w:r>
    </w:p>
    <w:p w14:paraId="332AF587" w14:textId="77777777" w:rsidR="00CD5F4E" w:rsidRPr="002A1558" w:rsidRDefault="00CD5F4E" w:rsidP="002A1558">
      <w:pPr>
        <w:jc w:val="both"/>
        <w:rPr>
          <w:rFonts w:ascii="Aptos" w:hAnsi="Aptos"/>
        </w:rPr>
      </w:pPr>
      <w:r w:rsidRPr="002A1558">
        <w:rPr>
          <w:rFonts w:ascii="Aptos" w:hAnsi="Aptos"/>
        </w:rPr>
        <w:t>Before submitting your return, taxpayers should ensure that the following documents and information are available:</w:t>
      </w:r>
    </w:p>
    <w:p w14:paraId="18447140" w14:textId="77777777" w:rsidR="002A1558" w:rsidRDefault="00CD5F4E" w:rsidP="002A1558">
      <w:pPr>
        <w:jc w:val="both"/>
        <w:rPr>
          <w:rFonts w:ascii="Aptos" w:hAnsi="Aptos"/>
        </w:rPr>
      </w:pPr>
      <w:r w:rsidRPr="002A1558">
        <w:rPr>
          <w:rFonts w:ascii="Aptos" w:hAnsi="Aptos" w:cs="Segoe UI Symbol"/>
        </w:rPr>
        <w:t>✓</w:t>
      </w:r>
      <w:r w:rsidRPr="002A1558">
        <w:rPr>
          <w:rFonts w:ascii="Aptos" w:hAnsi="Aptos"/>
        </w:rPr>
        <w:t xml:space="preserve"> Form 16 and salary records</w:t>
      </w:r>
    </w:p>
    <w:p w14:paraId="175B7386" w14:textId="77777777" w:rsidR="002A1558" w:rsidRDefault="00CD5F4E" w:rsidP="002A1558">
      <w:pPr>
        <w:jc w:val="both"/>
        <w:rPr>
          <w:rFonts w:ascii="Aptos" w:hAnsi="Aptos"/>
        </w:rPr>
      </w:pPr>
      <w:r w:rsidRPr="002A1558">
        <w:rPr>
          <w:rFonts w:ascii="Aptos" w:hAnsi="Aptos" w:cs="Segoe UI Symbol"/>
        </w:rPr>
        <w:t>✓</w:t>
      </w:r>
      <w:r w:rsidRPr="002A1558">
        <w:rPr>
          <w:rFonts w:ascii="Aptos" w:hAnsi="Aptos"/>
        </w:rPr>
        <w:t xml:space="preserve"> Interest certificates from banks and financial institution</w:t>
      </w:r>
    </w:p>
    <w:p w14:paraId="589FE649" w14:textId="77777777" w:rsidR="002A1558" w:rsidRDefault="00CD5F4E" w:rsidP="002A1558">
      <w:pPr>
        <w:jc w:val="both"/>
        <w:rPr>
          <w:rFonts w:ascii="Aptos" w:hAnsi="Aptos"/>
        </w:rPr>
      </w:pPr>
      <w:r w:rsidRPr="002A1558">
        <w:rPr>
          <w:rFonts w:ascii="Aptos" w:hAnsi="Aptos" w:cs="Segoe UI Symbol"/>
        </w:rPr>
        <w:t>✓</w:t>
      </w:r>
      <w:r w:rsidRPr="002A1558">
        <w:rPr>
          <w:rFonts w:ascii="Aptos" w:hAnsi="Aptos"/>
        </w:rPr>
        <w:t xml:space="preserve"> Capital gains statements and broker reports</w:t>
      </w:r>
    </w:p>
    <w:p w14:paraId="503974F6" w14:textId="77777777" w:rsidR="002A1558" w:rsidRDefault="00CD5F4E" w:rsidP="002A1558">
      <w:pPr>
        <w:jc w:val="both"/>
        <w:rPr>
          <w:rFonts w:ascii="Aptos" w:hAnsi="Aptos"/>
        </w:rPr>
      </w:pPr>
      <w:r w:rsidRPr="002A1558">
        <w:rPr>
          <w:rFonts w:ascii="Aptos" w:hAnsi="Aptos" w:cs="Segoe UI Symbol"/>
        </w:rPr>
        <w:t>✓</w:t>
      </w:r>
      <w:r w:rsidRPr="002A1558">
        <w:rPr>
          <w:rFonts w:ascii="Aptos" w:hAnsi="Aptos"/>
        </w:rPr>
        <w:t xml:space="preserve"> AIS and Form 26AS verification</w:t>
      </w:r>
    </w:p>
    <w:p w14:paraId="077428AD" w14:textId="77777777" w:rsidR="002A1558" w:rsidRDefault="00CD5F4E" w:rsidP="002A1558">
      <w:pPr>
        <w:jc w:val="both"/>
        <w:rPr>
          <w:rFonts w:ascii="Aptos" w:hAnsi="Aptos"/>
        </w:rPr>
      </w:pPr>
      <w:r w:rsidRPr="002A1558">
        <w:rPr>
          <w:rFonts w:ascii="Aptos" w:hAnsi="Aptos" w:cs="Segoe UI Symbol"/>
        </w:rPr>
        <w:t>✓</w:t>
      </w:r>
      <w:r w:rsidRPr="002A1558">
        <w:rPr>
          <w:rFonts w:ascii="Aptos" w:hAnsi="Aptos"/>
        </w:rPr>
        <w:t xml:space="preserve"> Investment proofs and deduction documents</w:t>
      </w:r>
    </w:p>
    <w:p w14:paraId="1C0DDED9" w14:textId="77777777" w:rsidR="002A1558" w:rsidRDefault="00CD5F4E" w:rsidP="002A1558">
      <w:pPr>
        <w:jc w:val="both"/>
        <w:rPr>
          <w:rFonts w:ascii="Aptos" w:hAnsi="Aptos"/>
        </w:rPr>
      </w:pPr>
      <w:r w:rsidRPr="002A1558">
        <w:rPr>
          <w:rFonts w:ascii="Aptos" w:hAnsi="Aptos" w:cs="Segoe UI Symbol"/>
        </w:rPr>
        <w:t>✓</w:t>
      </w:r>
      <w:r w:rsidRPr="002A1558">
        <w:rPr>
          <w:rFonts w:ascii="Aptos" w:hAnsi="Aptos"/>
        </w:rPr>
        <w:t xml:space="preserve"> Housing loan certificates</w:t>
      </w:r>
    </w:p>
    <w:p w14:paraId="0DD78FEE" w14:textId="77777777" w:rsidR="002A1558" w:rsidRDefault="00CD5F4E" w:rsidP="002A1558">
      <w:pPr>
        <w:jc w:val="both"/>
        <w:rPr>
          <w:rFonts w:ascii="Aptos" w:hAnsi="Aptos"/>
        </w:rPr>
      </w:pPr>
      <w:r w:rsidRPr="002A1558">
        <w:rPr>
          <w:rFonts w:ascii="Aptos" w:hAnsi="Aptos" w:cs="Segoe UI Symbol"/>
        </w:rPr>
        <w:t>✓</w:t>
      </w:r>
      <w:r w:rsidRPr="002A1558">
        <w:rPr>
          <w:rFonts w:ascii="Aptos" w:hAnsi="Aptos"/>
        </w:rPr>
        <w:t xml:space="preserve"> Self-assessment tax payment details</w:t>
      </w:r>
    </w:p>
    <w:p w14:paraId="404A5056" w14:textId="77777777" w:rsidR="002A1558" w:rsidRDefault="00CD5F4E" w:rsidP="002A1558">
      <w:pPr>
        <w:jc w:val="both"/>
        <w:rPr>
          <w:rFonts w:ascii="Aptos" w:hAnsi="Aptos"/>
        </w:rPr>
      </w:pPr>
      <w:r w:rsidRPr="002A1558">
        <w:rPr>
          <w:rFonts w:ascii="Aptos" w:hAnsi="Aptos" w:cs="Segoe UI Symbol"/>
        </w:rPr>
        <w:t>✓</w:t>
      </w:r>
      <w:r w:rsidRPr="002A1558">
        <w:rPr>
          <w:rFonts w:ascii="Aptos" w:hAnsi="Aptos"/>
        </w:rPr>
        <w:t xml:space="preserve"> Tax regime evaluation</w:t>
      </w:r>
    </w:p>
    <w:p w14:paraId="121A0853" w14:textId="5B6EAF5C" w:rsidR="00CD5F4E" w:rsidRPr="002A1558" w:rsidRDefault="00CD5F4E" w:rsidP="002A1558">
      <w:pPr>
        <w:jc w:val="both"/>
        <w:rPr>
          <w:rFonts w:ascii="Aptos" w:hAnsi="Aptos"/>
        </w:rPr>
      </w:pPr>
      <w:r w:rsidRPr="002A1558">
        <w:rPr>
          <w:rFonts w:ascii="Aptos" w:hAnsi="Aptos" w:cs="Segoe UI Symbol"/>
        </w:rPr>
        <w:t>✓</w:t>
      </w:r>
      <w:r w:rsidRPr="002A1558">
        <w:rPr>
          <w:rFonts w:ascii="Aptos" w:hAnsi="Aptos"/>
        </w:rPr>
        <w:t xml:space="preserve"> Verification of correct ITR form selection</w:t>
      </w:r>
    </w:p>
    <w:p w14:paraId="0BBE082F" w14:textId="77777777" w:rsidR="00CD5F4E" w:rsidRPr="002A1558" w:rsidRDefault="00CD5F4E" w:rsidP="002A1558">
      <w:pPr>
        <w:jc w:val="both"/>
        <w:rPr>
          <w:rFonts w:ascii="Aptos" w:hAnsi="Aptos"/>
        </w:rPr>
      </w:pPr>
      <w:r w:rsidRPr="002A1558">
        <w:rPr>
          <w:rFonts w:ascii="Aptos" w:hAnsi="Aptos"/>
        </w:rPr>
        <w:pict w14:anchorId="3B96999C">
          <v:rect id="_x0000_i1123" style="width:0;height:1.5pt" o:hralign="center" o:hrstd="t" o:hr="t" fillcolor="#a0a0a0" stroked="f"/>
        </w:pict>
      </w:r>
    </w:p>
    <w:p w14:paraId="144CB71D" w14:textId="77777777" w:rsidR="00CD5F4E" w:rsidRPr="002A1558" w:rsidRDefault="00CD5F4E" w:rsidP="002A1558">
      <w:pPr>
        <w:jc w:val="both"/>
        <w:rPr>
          <w:rFonts w:ascii="Aptos" w:hAnsi="Aptos"/>
          <w:b/>
          <w:bCs/>
          <w:sz w:val="28"/>
          <w:szCs w:val="28"/>
        </w:rPr>
      </w:pPr>
      <w:r w:rsidRPr="002A1558">
        <w:rPr>
          <w:rFonts w:ascii="Aptos" w:hAnsi="Aptos"/>
          <w:b/>
          <w:bCs/>
          <w:sz w:val="28"/>
          <w:szCs w:val="28"/>
        </w:rPr>
        <w:t>Conclusion</w:t>
      </w:r>
    </w:p>
    <w:p w14:paraId="5E198450" w14:textId="77777777" w:rsidR="00CD5F4E" w:rsidRPr="002A1558" w:rsidRDefault="00CD5F4E" w:rsidP="002A1558">
      <w:pPr>
        <w:jc w:val="both"/>
        <w:rPr>
          <w:rFonts w:ascii="Aptos" w:hAnsi="Aptos"/>
        </w:rPr>
      </w:pPr>
      <w:r w:rsidRPr="002A1558">
        <w:rPr>
          <w:rFonts w:ascii="Aptos" w:hAnsi="Aptos"/>
        </w:rPr>
        <w:t>The AY 2026–27 filing season should not be viewed merely as a procedural annual obligation. The increased use of technology and data analytics by tax authorities means that errors, omissions, and mismatches are more likely to be identified automatically.</w:t>
      </w:r>
    </w:p>
    <w:p w14:paraId="13F5D46C" w14:textId="77777777" w:rsidR="00CD5F4E" w:rsidRPr="002A1558" w:rsidRDefault="00CD5F4E" w:rsidP="002A1558">
      <w:pPr>
        <w:jc w:val="both"/>
        <w:rPr>
          <w:rFonts w:ascii="Aptos" w:hAnsi="Aptos"/>
        </w:rPr>
      </w:pPr>
      <w:r w:rsidRPr="002A1558">
        <w:rPr>
          <w:rFonts w:ascii="Aptos" w:hAnsi="Aptos"/>
        </w:rPr>
        <w:t>While technology has simplified data collection, professional judgment continues to remain essential.</w:t>
      </w:r>
    </w:p>
    <w:p w14:paraId="58E2E12A" w14:textId="77777777" w:rsidR="00CD5F4E" w:rsidRPr="002A1558" w:rsidRDefault="00CD5F4E" w:rsidP="002A1558">
      <w:pPr>
        <w:jc w:val="both"/>
        <w:rPr>
          <w:rFonts w:ascii="Aptos" w:hAnsi="Aptos"/>
        </w:rPr>
      </w:pPr>
      <w:r w:rsidRPr="002A1558">
        <w:rPr>
          <w:rFonts w:ascii="Aptos" w:hAnsi="Aptos"/>
        </w:rPr>
        <w:t>The role of a Chartered Accountant extends beyond preparation of returns. It includes interpretation of tax provisions, evaluation of tax positions, identification of risks, and ensuring that compliance aligns with the taxpayer's overall financial objectives.</w:t>
      </w:r>
    </w:p>
    <w:p w14:paraId="12E4EF5D" w14:textId="77777777" w:rsidR="00CD5F4E" w:rsidRDefault="00CD5F4E" w:rsidP="002A1558">
      <w:pPr>
        <w:jc w:val="both"/>
        <w:rPr>
          <w:rFonts w:ascii="Aptos" w:hAnsi="Aptos"/>
        </w:rPr>
      </w:pPr>
      <w:r w:rsidRPr="002A1558">
        <w:rPr>
          <w:rFonts w:ascii="Aptos" w:hAnsi="Aptos"/>
        </w:rPr>
        <w:t>Accurate filing is not only about meeting deadlines; it is about building long-term tax efficiency and minimizing future exposure.</w:t>
      </w:r>
    </w:p>
    <w:p w14:paraId="6B197898" w14:textId="77777777" w:rsidR="002A1558" w:rsidRDefault="002A1558" w:rsidP="002A1558">
      <w:pPr>
        <w:jc w:val="both"/>
        <w:rPr>
          <w:rFonts w:ascii="Aptos" w:hAnsi="Aptos"/>
        </w:rPr>
      </w:pPr>
    </w:p>
    <w:p w14:paraId="2FEAAA43" w14:textId="184ED4CB" w:rsidR="002A1558" w:rsidRPr="002A1558" w:rsidRDefault="002A1558" w:rsidP="002A1558">
      <w:pPr>
        <w:jc w:val="both"/>
        <w:rPr>
          <w:rFonts w:ascii="Aptos" w:hAnsi="Aptos"/>
        </w:rPr>
      </w:pPr>
      <w:r w:rsidRPr="002A1558">
        <w:rPr>
          <w:rFonts w:ascii="Aptos" w:hAnsi="Aptos"/>
        </w:rPr>
        <w:t>Article</w:t>
      </w:r>
    </w:p>
    <w:p w14:paraId="4CDE8214" w14:textId="67D70C51" w:rsidR="00DD62C1" w:rsidRPr="002A1558" w:rsidRDefault="002A1558" w:rsidP="002A1558">
      <w:pPr>
        <w:jc w:val="both"/>
        <w:rPr>
          <w:rFonts w:ascii="Aptos" w:hAnsi="Aptos"/>
          <w:i/>
          <w:iCs/>
        </w:rPr>
      </w:pPr>
      <w:r w:rsidRPr="002A1558">
        <w:rPr>
          <w:rFonts w:ascii="Aptos" w:hAnsi="Aptos"/>
          <w:b/>
          <w:bCs/>
          <w:i/>
          <w:iCs/>
        </w:rPr>
        <w:lastRenderedPageBreak/>
        <w:t>Disclaimer:</w:t>
      </w:r>
      <w:r w:rsidRPr="002A1558">
        <w:rPr>
          <w:rFonts w:ascii="Aptos" w:hAnsi="Aptos"/>
          <w:b/>
          <w:bCs/>
          <w:i/>
          <w:iCs/>
        </w:rPr>
        <w:t xml:space="preserve"> </w:t>
      </w:r>
      <w:r w:rsidRPr="002A1558">
        <w:rPr>
          <w:rFonts w:ascii="Aptos" w:hAnsi="Aptos"/>
          <w:i/>
          <w:iCs/>
        </w:rPr>
        <w:t>This article is intended for general informational purposes only and should not be construed as legal, tax, accounting, or professional advice. While reasonable care has been taken in preparing this content, tax laws and regulations are subject to change and interpretation. Readers are advised to evaluate their specific facts and circumstances and seek professional guidance from INYA or their tax advisor before taking any action based on this article.</w:t>
      </w:r>
    </w:p>
    <w:sectPr w:rsidR="00DD62C1" w:rsidRPr="002A15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311"/>
    <w:multiLevelType w:val="multilevel"/>
    <w:tmpl w:val="6A8E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72D7A"/>
    <w:multiLevelType w:val="multilevel"/>
    <w:tmpl w:val="DF6E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E7DE1"/>
    <w:multiLevelType w:val="multilevel"/>
    <w:tmpl w:val="C7E4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84120"/>
    <w:multiLevelType w:val="multilevel"/>
    <w:tmpl w:val="44E4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25016"/>
    <w:multiLevelType w:val="multilevel"/>
    <w:tmpl w:val="435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17D14"/>
    <w:multiLevelType w:val="multilevel"/>
    <w:tmpl w:val="5C14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634EC"/>
    <w:multiLevelType w:val="multilevel"/>
    <w:tmpl w:val="1C5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64B7D"/>
    <w:multiLevelType w:val="multilevel"/>
    <w:tmpl w:val="84E4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532E6"/>
    <w:multiLevelType w:val="multilevel"/>
    <w:tmpl w:val="CCAA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F7D96"/>
    <w:multiLevelType w:val="multilevel"/>
    <w:tmpl w:val="7562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02B67"/>
    <w:multiLevelType w:val="multilevel"/>
    <w:tmpl w:val="6F2C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B5A9C"/>
    <w:multiLevelType w:val="multilevel"/>
    <w:tmpl w:val="AA6C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E48A4"/>
    <w:multiLevelType w:val="multilevel"/>
    <w:tmpl w:val="EF32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3A4CCF"/>
    <w:multiLevelType w:val="multilevel"/>
    <w:tmpl w:val="AAB6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7004C"/>
    <w:multiLevelType w:val="multilevel"/>
    <w:tmpl w:val="1FAA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191553">
    <w:abstractNumId w:val="9"/>
  </w:num>
  <w:num w:numId="2" w16cid:durableId="666128348">
    <w:abstractNumId w:val="6"/>
  </w:num>
  <w:num w:numId="3" w16cid:durableId="532570879">
    <w:abstractNumId w:val="2"/>
  </w:num>
  <w:num w:numId="4" w16cid:durableId="1582715407">
    <w:abstractNumId w:val="5"/>
  </w:num>
  <w:num w:numId="5" w16cid:durableId="694113993">
    <w:abstractNumId w:val="10"/>
  </w:num>
  <w:num w:numId="6" w16cid:durableId="402409365">
    <w:abstractNumId w:val="8"/>
  </w:num>
  <w:num w:numId="7" w16cid:durableId="1142038190">
    <w:abstractNumId w:val="13"/>
  </w:num>
  <w:num w:numId="8" w16cid:durableId="1649087181">
    <w:abstractNumId w:val="7"/>
  </w:num>
  <w:num w:numId="9" w16cid:durableId="1040981264">
    <w:abstractNumId w:val="12"/>
  </w:num>
  <w:num w:numId="10" w16cid:durableId="433862338">
    <w:abstractNumId w:val="4"/>
  </w:num>
  <w:num w:numId="11" w16cid:durableId="1156335887">
    <w:abstractNumId w:val="11"/>
  </w:num>
  <w:num w:numId="12" w16cid:durableId="1804276492">
    <w:abstractNumId w:val="1"/>
  </w:num>
  <w:num w:numId="13" w16cid:durableId="1079640988">
    <w:abstractNumId w:val="14"/>
  </w:num>
  <w:num w:numId="14" w16cid:durableId="416369568">
    <w:abstractNumId w:val="3"/>
  </w:num>
  <w:num w:numId="15" w16cid:durableId="983312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2C1"/>
    <w:rsid w:val="002A1558"/>
    <w:rsid w:val="00525842"/>
    <w:rsid w:val="008D7DFD"/>
    <w:rsid w:val="00CD5F4E"/>
    <w:rsid w:val="00DD62C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2B24C"/>
  <w15:chartTrackingRefBased/>
  <w15:docId w15:val="{D07C6116-7570-4ADE-926A-92068742D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2C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D62C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D62C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D62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62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6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2C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D62C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D62C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D62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62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6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2C1"/>
    <w:rPr>
      <w:rFonts w:eastAsiaTheme="majorEastAsia" w:cstheme="majorBidi"/>
      <w:color w:val="272727" w:themeColor="text1" w:themeTint="D8"/>
    </w:rPr>
  </w:style>
  <w:style w:type="paragraph" w:styleId="Title">
    <w:name w:val="Title"/>
    <w:basedOn w:val="Normal"/>
    <w:next w:val="Normal"/>
    <w:link w:val="TitleChar"/>
    <w:uiPriority w:val="10"/>
    <w:qFormat/>
    <w:rsid w:val="00DD62C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D62C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D62C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D62C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D62C1"/>
    <w:pPr>
      <w:spacing w:before="160"/>
      <w:jc w:val="center"/>
    </w:pPr>
    <w:rPr>
      <w:i/>
      <w:iCs/>
      <w:color w:val="404040" w:themeColor="text1" w:themeTint="BF"/>
    </w:rPr>
  </w:style>
  <w:style w:type="character" w:customStyle="1" w:styleId="QuoteChar">
    <w:name w:val="Quote Char"/>
    <w:basedOn w:val="DefaultParagraphFont"/>
    <w:link w:val="Quote"/>
    <w:uiPriority w:val="29"/>
    <w:rsid w:val="00DD62C1"/>
    <w:rPr>
      <w:i/>
      <w:iCs/>
      <w:color w:val="404040" w:themeColor="text1" w:themeTint="BF"/>
    </w:rPr>
  </w:style>
  <w:style w:type="paragraph" w:styleId="ListParagraph">
    <w:name w:val="List Paragraph"/>
    <w:basedOn w:val="Normal"/>
    <w:uiPriority w:val="34"/>
    <w:qFormat/>
    <w:rsid w:val="00DD62C1"/>
    <w:pPr>
      <w:ind w:left="720"/>
      <w:contextualSpacing/>
    </w:pPr>
  </w:style>
  <w:style w:type="character" w:styleId="IntenseEmphasis">
    <w:name w:val="Intense Emphasis"/>
    <w:basedOn w:val="DefaultParagraphFont"/>
    <w:uiPriority w:val="21"/>
    <w:qFormat/>
    <w:rsid w:val="00DD62C1"/>
    <w:rPr>
      <w:i/>
      <w:iCs/>
      <w:color w:val="2F5496" w:themeColor="accent1" w:themeShade="BF"/>
    </w:rPr>
  </w:style>
  <w:style w:type="paragraph" w:styleId="IntenseQuote">
    <w:name w:val="Intense Quote"/>
    <w:basedOn w:val="Normal"/>
    <w:next w:val="Normal"/>
    <w:link w:val="IntenseQuoteChar"/>
    <w:uiPriority w:val="30"/>
    <w:qFormat/>
    <w:rsid w:val="00DD62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62C1"/>
    <w:rPr>
      <w:i/>
      <w:iCs/>
      <w:color w:val="2F5496" w:themeColor="accent1" w:themeShade="BF"/>
    </w:rPr>
  </w:style>
  <w:style w:type="character" w:styleId="IntenseReference">
    <w:name w:val="Intense Reference"/>
    <w:basedOn w:val="DefaultParagraphFont"/>
    <w:uiPriority w:val="32"/>
    <w:qFormat/>
    <w:rsid w:val="00DD62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1054</Words>
  <Characters>6012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inish roy</dc:creator>
  <cp:keywords/>
  <dc:description/>
  <cp:lastModifiedBy>inish roy</cp:lastModifiedBy>
  <cp:revision>1</cp:revision>
  <cp:lastPrinted>2026-05-27T08:41:00Z</cp:lastPrinted>
  <dcterms:created xsi:type="dcterms:W3CDTF">2026-05-26T09:04:00Z</dcterms:created>
  <dcterms:modified xsi:type="dcterms:W3CDTF">2026-05-27T09:26:00Z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3717d853-5052-43ef-81a0-3152b35bd914</vt:lpwstr>
  </property>
</Properties>
</file>