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5635B"/>
          <w:spacing w:val="30"/>
          <w:sz w:val="15"/>
          <w:szCs w:val="15"/>
        </w:rPr>
        <w:t xml:space="preserve">NYX KNOWLEDGE · DETRAN-AM · PROCESSO DE HOMOLOGAÇÃO · AGOSTO DE 2026</w:t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12211C"/>
          <w:sz w:val="40"/>
          <w:szCs w:val="40"/>
        </w:rPr>
        <w:t xml:space="preserve">Casos de uso da API SENATRAN no ecossistema DETRAN-AM</w:t>
      </w:r>
    </w:p>
    <w:p>
      <w:pPr>
        <w:spacing w:after="24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9"/>
          <w:szCs w:val="19"/>
        </w:rPr>
        <w:t xml:space="preserve">Este documento relaciona, por domínio, os usos que as aplicações do ecossistema fazem — ou precisarão fazer — das interfaces oficiais da SENATRAN. Cada linha descreve o caso de uso na aplicação, a operação necessária em linguagem funcional, a natureza da chamada e o dispositivo normativo que a exige.</w:t>
      </w:r>
    </w:p>
    <w:tbl>
      <w:tblPr>
        <w:tblW w:type="auto" w:w="100"/>
        <w:tblBorders>
          <w:top w:val="single" w:color="C9D1C7" w:sz="4"/>
          <w:left w:val="single" w:color="96541B" w:sz="18"/>
          <w:bottom w:val="single" w:color="C9D1C7" w:sz="4"/>
          <w:right w:val="single" w:color="C9D1C7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BFC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7"/>
                <w:szCs w:val="17"/>
              </w:rPr>
              <w:t xml:space="preserve">Sobre a descrição das operações.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7"/>
                <w:szCs w:val="17"/>
              </w:rPr>
              <w:t xml:space="preserve"> Ainda não dispomos da documentação oficial das interfaces. Por isso, as operações estão descritas por </w:t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7"/>
                <w:szCs w:val="17"/>
              </w:rPr>
              <w:t xml:space="preserve">função pretendida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7"/>
                <w:szCs w:val="17"/>
              </w:rPr>
              <w:t xml:space="preserve"> — “submissão de auto de infração”, “envio de resultado de exame médico” — e não por caminho, verbo ou esquema de dados. Onde a natureza da operação impõe requisitos técnicos (idempotência, reenvio seguro, processamento assíncrono), isso está declarado, pois define como construímos o cliente e como pretendemos nos comportar em produção.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7"/>
                <w:szCs w:val="17"/>
              </w:rPr>
              <w:t xml:space="preserve">O desenho atual foi validado contra uma réplica interna construída a partir das convenções públicas conhecidas. Divergências em relação ao contrato oficial são esperadas e serão absorvidas no adaptador, sem alteração das aplicações.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5635B"/>
          <w:spacing w:val="30"/>
          <w:sz w:val="15"/>
          <w:szCs w:val="15"/>
        </w:rPr>
        <w:t xml:space="preserve">LEGENDA DE NATUREZA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EDF0EA" w:sz="4"/>
          <w:insideV w:val="none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6"/>
                <w:szCs w:val="16"/>
              </w:rPr>
              <w:t xml:space="preserve">consulta</w:t>
            </w:r>
          </w:p>
        </w:tc>
        <w:tc>
          <w:tcPr>
            <w:tcW w:type="dxa" w:w="7546"/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leitura, sem efeito de estado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6"/>
                <w:szCs w:val="16"/>
              </w:rPr>
              <w:t xml:space="preserve">mutação</w:t>
            </w:r>
          </w:p>
        </w:tc>
        <w:tc>
          <w:tcPr>
            <w:tcW w:type="dxa" w:w="7546"/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cria ou altera registro nacional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4F42"/>
                <w:sz w:val="16"/>
                <w:szCs w:val="16"/>
              </w:rPr>
              <w:t xml:space="preserve">idempotente</w:t>
            </w:r>
          </w:p>
        </w:tc>
        <w:tc>
          <w:tcPr>
            <w:tcW w:type="dxa" w:w="7546"/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reenvio seguro com chave determinística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6"/>
                <w:szCs w:val="16"/>
              </w:rPr>
              <w:t xml:space="preserve">assíncrono</w:t>
            </w:r>
          </w:p>
        </w:tc>
        <w:tc>
          <w:tcPr>
            <w:tcW w:type="dxa" w:w="7546"/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aceite com protocolo e apuração posterior</w:t>
            </w:r>
          </w:p>
        </w:tc>
      </w:tr>
    </w:tbl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Contexto — quem consome e por quê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O ecossistema é composto por seis aplicações que cobrem, de ponta a ponta, o ciclo de vida do trânsito no âmbito do órgão executivo estadual: lavratura em campo, processo administrativo de infração, recursos, registro de sinistros, aptidão do condutor e atendimento ao cidadão. Nenhuma delas conversa diretamente com a SENATRAN: todo o tráfego atravessa um adaptador único, que concentra credenciais, política de reenvio, chaves de idempotência e trilha de auditoria.</w:t>
      </w:r>
    </w:p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Esse desenho tem consequência direta para a homologação: </w:t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o ponto de integração a ser homologado é um só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, com comportamento uniforme, independentemente de quantas aplicações estejam em operação.</w:t>
      </w:r>
    </w:p>
    <w:tbl>
      <w:tblPr>
        <w:tblW w:type="dxa" w:w="974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E8ECE6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TEAT · talonário eletrônico</w:t>
            </w:r>
          </w:p>
        </w:tc>
        <w:tc>
          <w:tcPr>
            <w:tcW w:type="dxa" w:w="65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Lavratura do auto em campo, com operação offline, numeração controlada e evidências</w:t>
            </w:r>
          </w:p>
        </w:tc>
      </w:tr>
      <w:tr>
        <w:trPr>
          <w:cantSplit/>
        </w:trPr>
        <w:tc>
          <w:tcPr>
            <w:tcW w:type="dxa" w:w="3200"/>
            <w:shd w:fill="F4F6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RAIT · recursos administrativos</w:t>
            </w:r>
          </w:p>
        </w:tc>
        <w:tc>
          <w:tcPr>
            <w:tcW w:type="dxa" w:w="6546"/>
            <w:shd w:fill="F4F6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Defesa prévia, penalidade, JARI e CETRAN, com prazos vigiados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BOAT · sinistros</w:t>
            </w:r>
          </w:p>
        </w:tc>
        <w:tc>
          <w:tcPr>
            <w:tcW w:type="dxa" w:w="65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Boletim de acidentalidade em campo e por instituições parceiras</w:t>
            </w:r>
          </w:p>
        </w:tc>
      </w:tr>
      <w:tr>
        <w:trPr>
          <w:cantSplit/>
        </w:trPr>
        <w:tc>
          <w:tcPr>
            <w:tcW w:type="dxa" w:w="3200"/>
            <w:shd w:fill="F4F6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PEC · aptidão do condutor</w:t>
            </w:r>
          </w:p>
        </w:tc>
        <w:tc>
          <w:tcPr>
            <w:tcW w:type="dxa" w:w="6546"/>
            <w:shd w:fill="F4F6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Exame médico e avaliação psicológica em clínicas credenciadas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PORTAL · cidadão</w:t>
            </w:r>
          </w:p>
        </w:tc>
        <w:tc>
          <w:tcPr>
            <w:tcW w:type="dxa" w:w="65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Consultas, adesão à notificação eletrônica, defesa, recurso e pagamento</w:t>
            </w:r>
          </w:p>
        </w:tc>
      </w:tr>
      <w:tr>
        <w:trPr>
          <w:cantSplit/>
        </w:trPr>
        <w:tc>
          <w:tcPr>
            <w:tcW w:type="dxa" w:w="3200"/>
            <w:shd w:fill="F4F6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DASHBOARD · operação</w:t>
            </w:r>
          </w:p>
        </w:tc>
        <w:tc>
          <w:tcPr>
            <w:tcW w:type="dxa" w:w="6546"/>
            <w:shd w:fill="F4F6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2211C"/>
                <w:sz w:val="16"/>
                <w:szCs w:val="16"/>
              </w:rPr>
              <w:t xml:space="preserve">Vigilância de prazos legais e da saúde das integrações</w:t>
            </w:r>
          </w:p>
        </w:tc>
      </w:tr>
    </w:tbl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1. Infrações</w:t>
      </w:r>
      <w:r>
        <w:rPr>
          <w:rFonts w:ascii="Calibri" w:cs="Calibri" w:eastAsia="Calibri" w:hAnsi="Calibri"/>
          <w:b/>
          <w:bCs/>
          <w:color w:val="23617E"/>
          <w:sz w:val="18"/>
          <w:szCs w:val="18"/>
        </w:rPr>
        <w:t xml:space="preserve">   RENAINF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55635B"/>
          <w:sz w:val="17"/>
          <w:szCs w:val="17"/>
        </w:rPr>
        <w:t xml:space="preserve">Consumido por TEAT · RAIT · PORTAL</w:t>
      </w:r>
    </w:p>
    <w:tbl>
      <w:tblPr>
        <w:tblW w:type="dxa" w:w="14678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E8ECE6" w:sz="4"/>
        </w:tblBorders>
      </w:tblPr>
      <w:tblGrid>
        <w:gridCol w:w="1000"/>
        <w:gridCol w:w="2950"/>
        <w:gridCol w:w="1450"/>
        <w:gridCol w:w="5200"/>
        <w:gridCol w:w="1750"/>
        <w:gridCol w:w="2328"/>
      </w:tblGrid>
      <w:tr>
        <w:trPr>
          <w:tblHeader/>
        </w:trPr>
        <w:tc>
          <w:tcPr>
            <w:tcW w:type="dxa" w:w="10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Nº</w:t>
            </w:r>
          </w:p>
        </w:tc>
        <w:tc>
          <w:tcPr>
            <w:tcW w:type="dxa" w:w="29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CASO DE USO NA APLICAÇÃO</w:t>
            </w:r>
          </w:p>
        </w:tc>
        <w:tc>
          <w:tcPr>
            <w:tcW w:type="dxa" w:w="14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APLICAÇÃO</w:t>
            </w:r>
          </w:p>
        </w:tc>
        <w:tc>
          <w:tcPr>
            <w:tcW w:type="dxa" w:w="52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OPERAÇÃO NECESSÁRIA</w:t>
            </w:r>
          </w:p>
        </w:tc>
        <w:tc>
          <w:tcPr>
            <w:tcW w:type="dxa" w:w="17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NATUREZA</w:t>
            </w:r>
          </w:p>
        </w:tc>
        <w:tc>
          <w:tcPr>
            <w:tcW w:type="dxa" w:w="2328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BASE NORMATIVA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INF-01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Agente lavra o auto de infração em campo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TEAT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Submissão de auto de infração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lavrado em dispositivo homologado, individual ou em lote, com número de série reservado, enquadramento, local, evidências referenciadas por hash e identificação do agente.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280-281 · Res. CONTRAN 918/2022 art. 3º · Port. SENATRAN 997/2022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INF-02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Dispositivo reserva numeração antes de sair para a rua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TEAT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Reserva e sincronização de faixas de numeração de AIT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devolução do intervalo concedido, prazo de validade e baixa dos números efetivamente consumidos.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Port. SENATRAN 997/2022 — operação offline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INF-03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e sincronização do talonário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TEAT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Sincronização de dispositivos e sessões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: registro do par dispositivo/versão homologada, abertura e encerramento de sessão do agente, e sinalização de concorrência entre dispositivos.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Port. SENATRAN 997/2022 — sessão exclusiva por dispositivo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INF-04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Auto lavrado com inconsistência é cancelado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TEAT · RAIT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Solicitação de cancelamento de auto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motivo estruturado e identificação da autoridade que determinou o cancelamento.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281, § 1º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INF-05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Abertura e acompanhamento do processo administrativo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Abertura de processo administrativo de infração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e consulta de sua situação, com o vínculo ao auto que lhe deu origem.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arts. 281-282 · Res. 918/2022 arts. 4º e 9º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INF-06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Notificação da autuação é expedida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da notificação de autuação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data de expedição e a data-limite de defesa que passa a correr.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918/2022 art. 4º — prazo de 30 dias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INF-07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Proprietário indica o real condutor infrator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 → RAIT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Submissão de indicação de condutor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os dados do condutor apontado e a confirmação de aceite ou recusa, para que a indicação produza efeito e fique disponível à averiguação de reincidência.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918/2022 art. 5º e § 6º — registro no RENACH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INF-08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Interessado apresenta defesa prévia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 → RAIT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Submissão de defesa da autuação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identificação do requerente, um único auto por requerimento e referência aos anexos por metadados (nome, tipo, hash) — os arquivos permanecem sob custódia do órgão.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CONTRAN 900/2022 · Res. 918/2022 art. 9º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INF-09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Penalidade é aplicada e notificada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de aplicação de penalidade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da notificação da penalidade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valor, data-limite de recurso e de pagamento.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918/2022 arts. 9º § 2º e 12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INF-10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Interessado interpõe recurso à JARI ou ao CETRAN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 → RAIT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Submissão de recurso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a instância a que se dirige e o vínculo ao recurso anterior quando for segunda instância.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arts. 285-289 · Res. 918/2022 arts. 15-16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INF-11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Colegiado julga e a decisão é comunicada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do julgamento do recurso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resultado, fundamentação e referência à decisão assinada digitalmente — e, no encerramento da instância, a liberação para registro da penalidade no prontuário.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arts. 285-290 · Res. 918/2022 arts. 17-18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INF-12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Cidadão e analista acompanham o processo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 · PORTAL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processo, recurso e histórico de julgamento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para exibir a situação real ao interessado e instruir a instância seguinte sem exigir dele documento que o órgão já possui.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285 § 4º · Lei 13.460/2017 art. 5º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INF-13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Cidadão consulta e quita o débito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débito da infração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do pagamento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a faixa de desconto aplicável e o efeito do recurso pendente sobre a exigibilidade.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284 · Res. 918/2022 arts. 20-23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INF-14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infrações por diversos critérios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TEAT · RAIT · PORTAL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infrações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por número do auto, placa, CPF ou CNPJ, registro de habilitação e órgão autuador, incluindo ocorrências e pagamentos associados.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257 · Res. 918/2022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INF-15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Infração cometida fora da UF de registro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Encaminhamento interestadual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de defesa ou recurso protocolado no órgão de domicílio do interessado ao órgão autuador competente.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287 — protocolo no órgão de domicílio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</w:p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2. Sinistros de trânsito</w:t>
      </w:r>
      <w:r>
        <w:rPr>
          <w:rFonts w:ascii="Calibri" w:cs="Calibri" w:eastAsia="Calibri" w:hAnsi="Calibri"/>
          <w:b/>
          <w:bCs/>
          <w:color w:val="23617E"/>
          <w:sz w:val="18"/>
          <w:szCs w:val="18"/>
        </w:rPr>
        <w:t xml:space="preserve">   RENAEST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55635B"/>
          <w:sz w:val="17"/>
          <w:szCs w:val="17"/>
        </w:rPr>
        <w:t xml:space="preserve">Consumido por BOAT · DASHBOARD</w:t>
      </w:r>
    </w:p>
    <w:tbl>
      <w:tblPr>
        <w:tblW w:type="dxa" w:w="14678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E8ECE6" w:sz="4"/>
        </w:tblBorders>
      </w:tblPr>
      <w:tblGrid>
        <w:gridCol w:w="1000"/>
        <w:gridCol w:w="2950"/>
        <w:gridCol w:w="1450"/>
        <w:gridCol w:w="5200"/>
        <w:gridCol w:w="1750"/>
        <w:gridCol w:w="2328"/>
      </w:tblGrid>
      <w:tr>
        <w:trPr>
          <w:tblHeader/>
        </w:trPr>
        <w:tc>
          <w:tcPr>
            <w:tcW w:type="dxa" w:w="10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Nº</w:t>
            </w:r>
          </w:p>
        </w:tc>
        <w:tc>
          <w:tcPr>
            <w:tcW w:type="dxa" w:w="29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CASO DE USO NA APLICAÇÃO</w:t>
            </w:r>
          </w:p>
        </w:tc>
        <w:tc>
          <w:tcPr>
            <w:tcW w:type="dxa" w:w="14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APLICAÇÃO</w:t>
            </w:r>
          </w:p>
        </w:tc>
        <w:tc>
          <w:tcPr>
            <w:tcW w:type="dxa" w:w="52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OPERAÇÃO NECESSÁRIA</w:t>
            </w:r>
          </w:p>
        </w:tc>
        <w:tc>
          <w:tcPr>
            <w:tcW w:type="dxa" w:w="17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NATUREZA</w:t>
            </w:r>
          </w:p>
        </w:tc>
        <w:tc>
          <w:tcPr>
            <w:tcW w:type="dxa" w:w="2328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BASE NORMATIVA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EST-01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Agente registra o sinistro na cena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BOAT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Submissão de boletim de sinistro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local, dinâmica, veículos, pessoas e vítimas, classificado por gravidade, individual ou em lote — a submissão pode ocorrer horas após o fato, por indisponibilidade de rede na cena.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assíncrono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326-A · Res. CONTRAN 808/2020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EST-02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Dados chegam depois do registro inicial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BOAT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Complementação de sinistro já submetido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para o caso em que a informação só existe depois: identificação de envolvido, evolução do quadro de uma vítima, laudo posterior.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808/2020 — consolidação estadual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EST-03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Erro material é corrigido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BOAT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Correção de sinistro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preservando o registro original e a autoria da correção.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808/2020 art. 4º § 3º — atestação de consistência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EST-04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Coordenador acompanha a validação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BOAT · DASHBOARD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sinistro por identificador ou protocolo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a situação na cadeia de validação e o motivo em caso de rejeição.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808/2020 arts. 8º-9º — validação em três níveis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EST-05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Busca operacional de sinistros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BOAT · DASHBOARD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sinistros por critérios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— placa, CPF de condutor, período, órgão — para reconciliar pendências e evitar registro duplicado.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808/2020 — estatística e gestão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EST-06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Verificação de histórico do veículo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BOAT · TEAT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indicador de sinistro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por placa ou chassi, para checar antecedente relevante ao atendimento.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808/2020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</w:p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3. Condutor e habilitação</w:t>
      </w:r>
      <w:r>
        <w:rPr>
          <w:rFonts w:ascii="Calibri" w:cs="Calibri" w:eastAsia="Calibri" w:hAnsi="Calibri"/>
          <w:b/>
          <w:bCs/>
          <w:color w:val="23617E"/>
          <w:sz w:val="18"/>
          <w:szCs w:val="18"/>
        </w:rPr>
        <w:t xml:space="preserve">   RENACH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55635B"/>
          <w:sz w:val="17"/>
          <w:szCs w:val="17"/>
        </w:rPr>
        <w:t xml:space="preserve">Consumido por PEC · PORTAL</w:t>
      </w:r>
    </w:p>
    <w:tbl>
      <w:tblPr>
        <w:tblW w:type="dxa" w:w="14678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E8ECE6" w:sz="4"/>
        </w:tblBorders>
      </w:tblPr>
      <w:tblGrid>
        <w:gridCol w:w="1000"/>
        <w:gridCol w:w="2950"/>
        <w:gridCol w:w="1450"/>
        <w:gridCol w:w="5200"/>
        <w:gridCol w:w="1750"/>
        <w:gridCol w:w="2328"/>
      </w:tblGrid>
      <w:tr>
        <w:trPr>
          <w:tblHeader/>
        </w:trPr>
        <w:tc>
          <w:tcPr>
            <w:tcW w:type="dxa" w:w="10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Nº</w:t>
            </w:r>
          </w:p>
        </w:tc>
        <w:tc>
          <w:tcPr>
            <w:tcW w:type="dxa" w:w="29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CASO DE USO NA APLICAÇÃO</w:t>
            </w:r>
          </w:p>
        </w:tc>
        <w:tc>
          <w:tcPr>
            <w:tcW w:type="dxa" w:w="14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APLICAÇÃO</w:t>
            </w:r>
          </w:p>
        </w:tc>
        <w:tc>
          <w:tcPr>
            <w:tcW w:type="dxa" w:w="52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OPERAÇÃO NECESSÁRIA</w:t>
            </w:r>
          </w:p>
        </w:tc>
        <w:tc>
          <w:tcPr>
            <w:tcW w:type="dxa" w:w="17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NATUREZA</w:t>
            </w:r>
          </w:p>
        </w:tc>
        <w:tc>
          <w:tcPr>
            <w:tcW w:type="dxa" w:w="2328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BASE NORMATIVA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CH-01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Abertura do processo de habilitação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Abertura de processo de habilitação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para o candidato, com o tipo de processo, e recuperação do número do processo quando ele já existir — hoje tratamos a reabertura como retorno idempotente, não como erro.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147 · Res. CONTRAN 789/2020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CH-02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Verificação de elegibilidade antes do exame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elegibilidade para exame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indicando se a etapa é devida, se há impedimento e se o exame toxicológico exigido está válido.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CONTRAN 927/2022 · Res. 923/2022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CH-03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Distribuição do candidato à clínica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clínicas e profissionais credenciados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situação do credenciamento e especialidade — é o insumo do sorteio imparcial exigido pela norma do conselho.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927/2022 · Res. CFM 1.636/2002 art. 3º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CH-04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Agendamento e comparecimento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de agendamento e de check-in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do candidato na clínica, com data, unidade e profissional responsável.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927/2022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CH-05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Perito conclui o exame médico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Envio de resultado de exame médico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o resultado no vocabulário oficial — apto, apto com restrições, inapto temporário ou inapto —, os códigos de restrição aplicáveis e a referência ao laudo assinado digitalmente, que permanece sob custódia do órgão.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147 · Res. 927/2022 arts. 8º-9º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CH-06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Psicólogo conclui a avaliação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Envio de resultado de avaliação psicológica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no mesmo formato de resultado e com a mesma referência ao laudo assinado.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927/2022 · Res. CFP 01/2019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CH-07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Laudo é retificado por adendo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Envio de retificação de resultado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que referencia o resultado original sem apagá-lo — o laudo é imutável e a correção se faz por adendo.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CFM 1.636/2002 · Lei 13.787/2018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CH-08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Candidato recorre à junta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Encaminhamento à junta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envio do parecer da junta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identificando a instância — junta local, instância recursal e junta especial de saúde — e o resultado que prevalece.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927/2022 arts. 12-15 — três instâncias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CH-09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Identificação do condutor no atendimento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 · PORTAL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condutor e de habilitação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por CPF, registro, PGU ou número do formulário, incluindo situação da CNH e impedimentos.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147 § 1º — pessoalidade do ato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CH-10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Validação de presença do candidato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PEC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imagem e de dados biométricos do condutor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validação de segurança da habilitação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para confirmar que quem se apresenta é quem diz ser antes de iniciar o exame.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Port. SENATRAN 968/2022 e 495/2025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</w:p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4. Notificação eletrônica</w:t>
      </w:r>
      <w:r>
        <w:rPr>
          <w:rFonts w:ascii="Calibri" w:cs="Calibri" w:eastAsia="Calibri" w:hAnsi="Calibri"/>
          <w:b/>
          <w:bCs/>
          <w:color w:val="23617E"/>
          <w:sz w:val="18"/>
          <w:szCs w:val="18"/>
        </w:rPr>
        <w:t xml:space="preserve">   SNE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55635B"/>
          <w:sz w:val="17"/>
          <w:szCs w:val="17"/>
        </w:rPr>
        <w:t xml:space="preserve">Consumido por PORTAL · RAIT</w:t>
      </w:r>
    </w:p>
    <w:tbl>
      <w:tblPr>
        <w:tblW w:type="dxa" w:w="14678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E8ECE6" w:sz="4"/>
        </w:tblBorders>
      </w:tblPr>
      <w:tblGrid>
        <w:gridCol w:w="1000"/>
        <w:gridCol w:w="2950"/>
        <w:gridCol w:w="1450"/>
        <w:gridCol w:w="5200"/>
        <w:gridCol w:w="1750"/>
        <w:gridCol w:w="2328"/>
      </w:tblGrid>
      <w:tr>
        <w:trPr>
          <w:tblHeader/>
        </w:trPr>
        <w:tc>
          <w:tcPr>
            <w:tcW w:type="dxa" w:w="10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Nº</w:t>
            </w:r>
          </w:p>
        </w:tc>
        <w:tc>
          <w:tcPr>
            <w:tcW w:type="dxa" w:w="29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CASO DE USO NA APLICAÇÃO</w:t>
            </w:r>
          </w:p>
        </w:tc>
        <w:tc>
          <w:tcPr>
            <w:tcW w:type="dxa" w:w="14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APLICAÇÃO</w:t>
            </w:r>
          </w:p>
        </w:tc>
        <w:tc>
          <w:tcPr>
            <w:tcW w:type="dxa" w:w="52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OPERAÇÃO NECESSÁRIA</w:t>
            </w:r>
          </w:p>
        </w:tc>
        <w:tc>
          <w:tcPr>
            <w:tcW w:type="dxa" w:w="17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NATUREZA</w:t>
            </w:r>
          </w:p>
        </w:tc>
        <w:tc>
          <w:tcPr>
            <w:tcW w:type="dxa" w:w="2328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BASE NORMATIVA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SNE-01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Verificar se há adesão antes de notificar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 · PORTAL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adesão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por veículo, cidadão ou órgão — define se a notificação seguirá por meio eletrônico ou postal.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CONTRAN 931/2022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SNE-02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Cidadão adere pelo portal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de adesão do cidadão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e seu cancelamento, com a data de vigência a partir da qual a ciência eletrônica passa a valer.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931/2022 · CTB art. 282-A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SNE-03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Notificação enviada por meio eletrônico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Envio de notificação de autuação e de penalidade pelo canal eletrônico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retorno do protocolo que comprova a expedição e dispensa a publicação por edital.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931/2022 · Res. 918/2022 art. 14 § 4º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SNE-04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Comprovar a ciência em processo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notificação por protocolo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para instruir o processo com a data de ciência efetiva ou ficta, da qual dependem todos os prazos seguintes.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931/2022 — ciência em 30 dias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SNE-05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Notificação indevida é cancelada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Cancelamento de notificação eletrônica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motivo, quando o ato que a originou é desfeito.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931/2022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</w:p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5. Canal do cidadão</w:t>
      </w:r>
      <w:r>
        <w:rPr>
          <w:rFonts w:ascii="Calibri" w:cs="Calibri" w:eastAsia="Calibri" w:hAnsi="Calibri"/>
          <w:b/>
          <w:bCs/>
          <w:color w:val="23617E"/>
          <w:sz w:val="18"/>
          <w:szCs w:val="18"/>
        </w:rPr>
        <w:t xml:space="preserve">   CDT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55635B"/>
          <w:sz w:val="17"/>
          <w:szCs w:val="17"/>
        </w:rPr>
        <w:t xml:space="preserve">Consumido por PORTAL</w:t>
      </w:r>
    </w:p>
    <w:tbl>
      <w:tblPr>
        <w:tblW w:type="dxa" w:w="14678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E8ECE6" w:sz="4"/>
        </w:tblBorders>
      </w:tblPr>
      <w:tblGrid>
        <w:gridCol w:w="1000"/>
        <w:gridCol w:w="2950"/>
        <w:gridCol w:w="1450"/>
        <w:gridCol w:w="5200"/>
        <w:gridCol w:w="1750"/>
        <w:gridCol w:w="2328"/>
      </w:tblGrid>
      <w:tr>
        <w:trPr>
          <w:tblHeader/>
        </w:trPr>
        <w:tc>
          <w:tcPr>
            <w:tcW w:type="dxa" w:w="10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Nº</w:t>
            </w:r>
          </w:p>
        </w:tc>
        <w:tc>
          <w:tcPr>
            <w:tcW w:type="dxa" w:w="29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CASO DE USO NA APLICAÇÃO</w:t>
            </w:r>
          </w:p>
        </w:tc>
        <w:tc>
          <w:tcPr>
            <w:tcW w:type="dxa" w:w="14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APLICAÇÃO</w:t>
            </w:r>
          </w:p>
        </w:tc>
        <w:tc>
          <w:tcPr>
            <w:tcW w:type="dxa" w:w="52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OPERAÇÃO NECESSÁRIA</w:t>
            </w:r>
          </w:p>
        </w:tc>
        <w:tc>
          <w:tcPr>
            <w:tcW w:type="dxa" w:w="17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NATUREZA</w:t>
            </w:r>
          </w:p>
        </w:tc>
        <w:tc>
          <w:tcPr>
            <w:tcW w:type="dxa" w:w="2328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BASE NORMATIVA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CDT-01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Cidadão vê sua situação consolidada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consolidada do cidadão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: notificações pendentes, infrações, veículos vinculados e situação da habilitação, a partir do CPF autenticado.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Lei 13.460/2017 · Lei 14.129/2021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CDT-02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Cidadão consulta valor a pagar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pagamento da infração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com valor com e sem desconto, vencimento e disponibilidade de documento de arrecadação.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284 · Res. 918/2022 arts. 20-21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CDT-03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Cidadão reconhece a infração para obter desconto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Registro do reconhecimento da infração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— ato que concede a faixa de desconto e implica renúncia à defesa e ao recurso, e que por isso precisa ser registrado de forma inequívoca e rastreável.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284 § 1º · Res. 918/2022 art. 21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CDT-04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Cidadão protocola defesa ou recurso pelo canal digital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Submissão de defesa ou recurso originada no canal do cidadão. Necessidade identificada: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a norma admite o protocolo eletrônico e remete o rito via notificação eletrônica a regulamentação específica; caso a interface oficial não ofereça essa entrada, o protocolo permanecerá no canal do órgão e apenas o resultado será refletido ao cidadão.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E4F42"/>
                <w:sz w:val="15"/>
                <w:szCs w:val="15"/>
              </w:rPr>
              <w:t xml:space="preserve">idempotente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900/2022 arts. 6º § 4º e 12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</w:p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6. Consultas de base</w:t>
      </w:r>
      <w:r>
        <w:rPr>
          <w:rFonts w:ascii="Calibri" w:cs="Calibri" w:eastAsia="Calibri" w:hAnsi="Calibri"/>
          <w:b/>
          <w:bCs/>
          <w:color w:val="23617E"/>
          <w:sz w:val="18"/>
          <w:szCs w:val="18"/>
        </w:rPr>
        <w:t xml:space="preserve">   WSDenatran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55635B"/>
          <w:sz w:val="17"/>
          <w:szCs w:val="17"/>
        </w:rPr>
        <w:t xml:space="preserve">Consumido por todas as aplicações</w:t>
      </w:r>
    </w:p>
    <w:tbl>
      <w:tblPr>
        <w:tblW w:type="dxa" w:w="14678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E8ECE6" w:sz="4"/>
        </w:tblBorders>
      </w:tblPr>
      <w:tblGrid>
        <w:gridCol w:w="1000"/>
        <w:gridCol w:w="2950"/>
        <w:gridCol w:w="1450"/>
        <w:gridCol w:w="5200"/>
        <w:gridCol w:w="1750"/>
        <w:gridCol w:w="2328"/>
      </w:tblGrid>
      <w:tr>
        <w:trPr>
          <w:tblHeader/>
        </w:trPr>
        <w:tc>
          <w:tcPr>
            <w:tcW w:type="dxa" w:w="10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Nº</w:t>
            </w:r>
          </w:p>
        </w:tc>
        <w:tc>
          <w:tcPr>
            <w:tcW w:type="dxa" w:w="29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CASO DE USO NA APLICAÇÃO</w:t>
            </w:r>
          </w:p>
        </w:tc>
        <w:tc>
          <w:tcPr>
            <w:tcW w:type="dxa" w:w="14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APLICAÇÃO</w:t>
            </w:r>
          </w:p>
        </w:tc>
        <w:tc>
          <w:tcPr>
            <w:tcW w:type="dxa" w:w="520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OPERAÇÃO NECESSÁRIA</w:t>
            </w:r>
          </w:p>
        </w:tc>
        <w:tc>
          <w:tcPr>
            <w:tcW w:type="dxa" w:w="1750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NATUREZA</w:t>
            </w:r>
          </w:p>
        </w:tc>
        <w:tc>
          <w:tcPr>
            <w:tcW w:type="dxa" w:w="2328"/>
            <w:shd w:fill="0E4F4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4"/>
                <w:szCs w:val="14"/>
              </w:rPr>
              <w:t xml:space="preserve">BASE NORMATIVA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BAS-01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Agente identifica o veículo abordado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TEAT · BOAT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veículo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por placa, chassi, RENAVAM ou motor, com característica, situação e dados do proprietário — insumo obrigatório do auto e do boletim de sinistro.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280 — dados mínimos do auto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BAS-02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Agente verifica alerta antes da abordagem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TEAT · BOAT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indicadores do veículo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: roubo e furto, restrição judicial, alarme e sinistro — decisão operacional que antecede o contato com o condutor.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segurança da operação em campo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BAS-03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Agente identifica o condutor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TEAT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condutor e de habilitação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por CPF ou registro, com situação, categoria, validade e impedimentos.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280, IV · Res. 918/2022 art. 3º § 4º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BAS-04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Cidadão consulta sua pontuação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PORTAL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infrações do condutor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pelo registro de habilitação, para exibir a pontuação e o efeito de cada processo em curso.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259 · Lei 13.460/2017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BAS-05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Verificação de titularidade e de venda comunicada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Consulta de comunicação de venda e de endereço do possuidor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, que define a quem a notificação deve ser dirigida e quem responde pela infração.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</w:p>
        </w:tc>
        <w:tc>
          <w:tcPr>
            <w:tcW w:type="dxa" w:w="232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Res. 918/2022 arts. 6º e 32</w:t>
            </w:r>
          </w:p>
        </w:tc>
      </w:tr>
      <w:tr>
        <w:trPr>
          <w:cantSplit/>
        </w:trPr>
        <w:tc>
          <w:tcPr>
            <w:tcW w:type="dxa" w:w="10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5635B"/>
                <w:sz w:val="15"/>
                <w:szCs w:val="15"/>
              </w:rPr>
              <w:t xml:space="preserve">BAS-06</w:t>
            </w:r>
          </w:p>
        </w:tc>
        <w:tc>
          <w:tcPr>
            <w:tcW w:type="dxa" w:w="29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Roteamento de operação para outra UF</w:t>
            </w:r>
          </w:p>
        </w:tc>
        <w:tc>
          <w:tcPr>
            <w:tcW w:type="dxa" w:w="14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E4F42"/>
                <w:sz w:val="15"/>
                <w:szCs w:val="15"/>
              </w:rPr>
              <w:t xml:space="preserve">RAIT · BOAT · PEC</w:t>
            </w:r>
          </w:p>
        </w:tc>
        <w:tc>
          <w:tcPr>
            <w:tcW w:type="dxa" w:w="520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6"/>
                <w:szCs w:val="16"/>
              </w:rPr>
              <w:t xml:space="preserve">Encaminhamento por unidade federativa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6"/>
                <w:szCs w:val="16"/>
              </w:rPr>
              <w:t xml:space="preserve"> das operações que envolvem veículo ou condutor registrado em outro órgão executivo estadual.</w:t>
            </w:r>
          </w:p>
        </w:tc>
        <w:tc>
          <w:tcPr>
            <w:tcW w:type="dxa" w:w="1750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617E"/>
                <w:sz w:val="15"/>
                <w:szCs w:val="15"/>
              </w:rPr>
              <w:t xml:space="preserve">consulta</w:t>
            </w:r>
            <w:r>
              <w:rPr>
                <w:rFonts w:ascii="Calibri" w:cs="Calibri" w:eastAsia="Calibri" w:hAnsi="Calibri"/>
                <w:color w:val="C9D1C7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96541B"/>
                <w:sz w:val="15"/>
                <w:szCs w:val="15"/>
              </w:rPr>
              <w:t xml:space="preserve">mutação</w:t>
            </w:r>
          </w:p>
        </w:tc>
        <w:tc>
          <w:tcPr>
            <w:tcW w:type="dxa" w:w="2328"/>
            <w:shd w:fill="F4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5635B"/>
                <w:sz w:val="14"/>
                <w:szCs w:val="14"/>
              </w:rPr>
              <w:t xml:space="preserve">CTB art. 287</w:t>
            </w:r>
          </w:p>
        </w:tc>
      </w:tr>
    </w:tbl>
    <w:p>
      <w:pPr>
        <w:sectPr>
          <w:pgSz w:w="16838" w:h="11906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Requisitos transversais — como pretendemos nos comportar em produção</w:t>
      </w:r>
    </w:p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Os itens abaixo não são pedidos de funcionalidade: são compromissos de comportamento do nosso cliente de integração, que submetemos à avaliação porque afetam diretamente a carga e a integridade dos dados na base nacional.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Idempotência em toda mutação.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Cada operação que cria ou altera registro nacional carrega chave determinística derivada do ato de origem. Um reenvio após falha de rede não gera duplicidade; quando o registro já existe, tratamos como sucesso e recuperamos o identificador, sem repetir o efeito.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Reenvio contido.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Retentativa com espera progressiva e disjuntor por superfície: falhas sucessivas interrompem o envio em vez de amplificar a carga. Nada é reenviado indefinidamente.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Publicação transacional.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O envio à base nacional é decidido na mesma transação do ato local que o originou, com fila própria e ordem preservada — não há ato local sem contrapartida registrada, nem envio de ato que não se consumou.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Operação offline no campo.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Agentes operam sem rede por períodos longos. A submissão ocorre na sincronização, com o momento real do fato preservado — daí a importância da numeração previamente reservada.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Credenciamento e trilha.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Certificado do órgão e identificação do operador em cada chamada, com registro auditável de quem originou o ato, quando e sob qual sessão de dispositivo.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Ambiente de homologação.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Solicitamos ambiente com dados fictícios para exercitar os fluxos de ponta a ponta, incluindo os caminhos de erro. Hoje usamos réplica interna; ela não substitui a validação oficial.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</w:p>
    <w:tbl>
      <w:tblPr>
        <w:tblW w:type="auto" w:w="100"/>
        <w:tblBorders>
          <w:top w:val="single" w:color="C9D1C7" w:sz="4"/>
          <w:left w:val="single" w:color="96541B" w:sz="18"/>
          <w:bottom w:val="single" w:color="C9D1C7" w:sz="4"/>
          <w:right w:val="single" w:color="C9D1C7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BFC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2211C"/>
                <w:sz w:val="17"/>
                <w:szCs w:val="17"/>
              </w:rPr>
              <w:t xml:space="preserve">Volumetria.</w:t>
            </w:r>
            <w:r>
              <w:rPr>
                <w:rFonts w:ascii="Calibri" w:cs="Calibri" w:eastAsia="Calibri" w:hAnsi="Calibri"/>
                <w:b w:val="false"/>
                <w:bCs w:val="false"/>
                <w:color w:val="12211C"/>
                <w:sz w:val="17"/>
                <w:szCs w:val="17"/>
              </w:rPr>
              <w:t xml:space="preserve"> A ordem de grandeza depende de dados operacionais do DETRAN-AM — efetivo de agentes em campo, autos por mês, exames por mês e base de veículos e condutores do estado. Será consolidada com o órgão e apresentada antes dos testes de homologação, junto às janelas de maior concentração de tráfego (turnos de fiscalização e fechamento mensal de arrecadação).</w:t>
            </w:r>
          </w:p>
        </w:tc>
      </w:tr>
    </w:tbl>
    <w:p>
      <w:pPr>
        <w:keepNext/>
        <w:spacing w:after="100" w:before="320"/>
      </w:pPr>
      <w:r>
        <w:rPr>
          <w:rFonts w:ascii="Georgia" w:cs="Georgia" w:eastAsia="Georgia" w:hAnsi="Georgia"/>
          <w:b/>
          <w:bCs/>
          <w:color w:val="12211C"/>
          <w:sz w:val="28"/>
          <w:szCs w:val="28"/>
        </w:rPr>
        <w:t xml:space="preserve">Delimitação — o que não estamos solicitando</w:t>
      </w:r>
    </w:p>
    <w:p>
      <w:pPr>
        <w:spacing w:after="18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A delimitação faz parte do pedido. Requisitamos o acesso mínimo necessário aos processos que o órgão executivo estadual conduz — e nada além disso.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Alteração de registro de veículo (RENAVAM).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O domínio está previsto na arquitetura, mas nenhuma operação de escrita sobre o registro veicular é solicitada nesta homologação.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Extração de base para análise.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Não pedimos acesso em massa nem cargas completas: as consultas são pontuais e vinculadas a um atendimento, processo ou ato em curso.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Dados de saúde de terceiros.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No domínio de sinistros, tratamos dado de vítima estritamente no que a submissão exige; no domínio clínico, o dado é do próprio candidato atendido.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Arquivos de documentos.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Anexos de defesa, recurso, laudos e evidências permanecem sob custódia do órgão; ao registro nacional trafegam apenas metadados e resumo criptográfico.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7"/>
          <w:szCs w:val="17"/>
        </w:rPr>
        <w:t xml:space="preserve">Operações de outras UFs.</w:t>
      </w:r>
      <w:r>
        <w:rPr>
          <w:rFonts w:ascii="Calibri" w:cs="Calibri" w:eastAsia="Calibri" w:hAnsi="Calibri"/>
          <w:b w:val="false"/>
          <w:bCs w:val="false"/>
          <w:color w:val="12211C"/>
          <w:sz w:val="17"/>
          <w:szCs w:val="17"/>
        </w:rPr>
        <w:t xml:space="preserve"> Fora do que o próprio processo interestadual exigir, na forma do art. 287 do CTB.</w:t>
      </w:r>
    </w:p>
    <w:p>
      <w:pPr>
        <w:pBdr>
          <w:top w:val="single" w:color="C9D1C7" w:sz="6" w:space="12"/>
        </w:pBdr>
        <w:spacing w:after="100" w:before="400"/>
      </w:pP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12211C"/>
          <w:sz w:val="16"/>
          <w:szCs w:val="16"/>
        </w:rPr>
        <w:t xml:space="preserve"/>
      </w:r>
      <w:r>
        <w:rPr>
          <w:rFonts w:ascii="Calibri" w:cs="Calibri" w:eastAsia="Calibri" w:hAnsi="Calibri"/>
          <w:b/>
          <w:bCs/>
          <w:color w:val="12211C"/>
          <w:sz w:val="16"/>
          <w:szCs w:val="16"/>
        </w:rPr>
        <w:t xml:space="preserve">NYX Knowledge (NYXK)</w:t>
      </w:r>
      <w:r>
        <w:rPr>
          <w:rFonts w:ascii="Calibri" w:cs="Calibri" w:eastAsia="Calibri" w:hAnsi="Calibri"/>
          <w:b w:val="false"/>
          <w:bCs w:val="false"/>
          <w:color w:val="12211C"/>
          <w:sz w:val="16"/>
          <w:szCs w:val="16"/>
        </w:rPr>
        <w:t xml:space="preserve"> · Antonio Augusto Russo · aarusso@nyxk.com.br</w:t>
      </w:r>
    </w:p>
    <w:p>
      <w:pPr>
        <w:spacing w:after="0" w:before="0" w:line="276"/>
      </w:pPr>
      <w:r>
        <w:rPr>
          <w:rFonts w:ascii="Calibri" w:cs="Calibri" w:eastAsia="Calibri" w:hAnsi="Calibri"/>
          <w:b w:val="false"/>
          <w:bCs w:val="false"/>
          <w:color w:val="55635B"/>
          <w:sz w:val="15"/>
          <w:szCs w:val="15"/>
        </w:rPr>
        <w:t xml:space="preserve">Documento elaborado para o processo de homologação junto à SENATRAN — agosto de 2026. As operações estão descritas por função pretendida; a nomenclatura, os caminhos e os esquemas de dados serão ajustados ao contrato oficial quando disponibilizado, sem impacto nas aplicações, por estarem isolados no adaptador de integração.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40"/>
      </w:pPr>
      <w:rPr>
        <w:rFonts w:ascii="Calibri" w:cs="Calibri" w:eastAsia="Calibri" w:hAnsi="Calibri"/>
        <w:color w:val="9654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da API SENATRAN no ecossistema DETRAN-AM</dc:title>
  <dc:creator>NYX Knowledge (NYXK)</dc:creator>
  <dc:description>Documento de casos de uso para o processo de homologação junto à SENATRAN</dc:description>
  <cp:lastModifiedBy>Un-named</cp:lastModifiedBy>
  <cp:revision>1</cp:revision>
  <dcterms:created xsi:type="dcterms:W3CDTF">2026-08-25T23:39:05.593Z</dcterms:created>
  <dcterms:modified xsi:type="dcterms:W3CDTF">2026-08-25T23:39:05.594Z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