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8"/>
          <w:szCs w:val="48"/>
        </w:rPr>
        <w:t xml:space="preserve">Literature Review</w:t>
      </w:r>
    </w:p>
    <w:p>
      <w:pPr>
        <w:spacing w:after="80"/>
        <w:jc w:val="center"/>
      </w:pPr>
      <w:r>
        <w:rPr>
          <w:rFonts w:ascii="Arial" w:cs="Arial" w:eastAsia="Arial" w:hAnsi="Arial"/>
          <w:i/>
          <w:iCs/>
          <w:color w:val="2E5597"/>
          <w:sz w:val="26"/>
          <w:szCs w:val="26"/>
        </w:rPr>
        <w:t xml:space="preserve">Forecasting Sovereign Bond Yields: The Role of CPI and Macroeconomic Determinants</w:t>
      </w:r>
    </w:p>
    <w:p>
      <w:pPr>
        <w:spacing w:after="40"/>
        <w:jc w:val="center"/>
      </w:pPr>
      <w:r>
        <w:rPr>
          <w:rFonts w:ascii="Arial" w:cs="Arial" w:eastAsia="Arial" w:hAnsi="Arial"/>
          <w:color w:val="666666"/>
          <w:sz w:val="22"/>
          <w:szCs w:val="22"/>
        </w:rPr>
        <w:t xml:space="preserve">FE Group Assignment</w:t>
      </w:r>
    </w:p>
    <w:p>
      <w:pPr>
        <w:spacing w:after="480"/>
        <w:jc w:val="center"/>
      </w:pPr>
      <w:r>
        <w:rPr>
          <w:rFonts w:ascii="Arial" w:cs="Arial" w:eastAsia="Arial" w:hAnsi="Arial"/>
          <w:color w:val="666666"/>
          <w:sz w:val="22"/>
          <w:szCs w:val="22"/>
        </w:rPr>
        <w:t xml:space="preserve">March 2026</w:t>
      </w:r>
    </w:p>
    <w:p>
      <w:pPr>
        <w:pStyle w:val="Heading1"/>
        <w:pBdr>
          <w:bottom w:val="single" w:color="1F3864" w:sz="4" w:space="4"/>
        </w:pBdr>
        <w:spacing w:before="360" w:after="160"/>
      </w:pPr>
      <w:r>
        <w:rPr>
          <w:rFonts w:ascii="Arial" w:cs="Arial" w:eastAsia="Arial" w:hAnsi="Arial"/>
          <w:b/>
          <w:bCs/>
          <w:color w:val="1F3864"/>
          <w:sz w:val="32"/>
          <w:szCs w:val="32"/>
        </w:rPr>
        <w:t xml:space="preserve">1.  Introduction</w:t>
      </w:r>
    </w:p>
    <w:p>
      <w:pPr>
        <w:spacing w:after="120" w:line="276"/>
        <w:jc w:val="both"/>
      </w:pPr>
      <w:r>
        <w:rPr>
          <w:rFonts w:ascii="Arial" w:cs="Arial" w:eastAsia="Arial" w:hAnsi="Arial"/>
          <w:sz w:val="22"/>
          <w:szCs w:val="22"/>
        </w:rPr>
        <w:t xml:space="preserve">Sovereign bond yields are among the most closely watched indicators in macroeconomics and financial markets. They reflect the cost at which governments borrow, serve as a benchmark for private sector credit, and embed market expectations about future inflation, growth, and monetary policy. Understanding and forecasting yield dynamics is therefore of considerable importance to investors, policymakers, and debt management offices alike.</w:t>
      </w:r>
    </w:p>
    <w:p>
      <w:pPr>
        <w:spacing w:after="120" w:line="276"/>
        <w:jc w:val="both"/>
      </w:pPr>
      <w:r>
        <w:rPr>
          <w:rFonts w:ascii="Arial" w:cs="Arial" w:eastAsia="Arial" w:hAnsi="Arial"/>
          <w:sz w:val="22"/>
          <w:szCs w:val="22"/>
        </w:rPr>
        <w:t xml:space="preserve">This literature review surveys the academic evidence relevant to a study that uses the Consumer Price Index (CPI) and other macroeconomic and financial variables to forecast a country’s 10-year government bond yield using ARIMAX and SARIMAX time-series models. The review is organised into three thematic clusters: (i) the theoretical and empirical foundations linking inflation and fiscal fundamentals to bond yields; (ii) time-series modelling of CPI and inflation; and (iii) applied forecasting of bond yields using ARIMA-family models. A synthesis table and gap analysis conclude the review.</w:t>
      </w:r>
    </w:p>
    <w:p>
      <w:pPr>
        <w:spacing w:after="200"/>
      </w:pPr>
      <w:r>
        <w:t xml:space="preserve"/>
      </w:r>
    </w:p>
    <w:p>
      <w:pPr>
        <w:pStyle w:val="Heading1"/>
        <w:pBdr>
          <w:bottom w:val="single" w:color="1F3864" w:sz="4" w:space="4"/>
        </w:pBdr>
        <w:spacing w:before="360" w:after="160"/>
      </w:pPr>
      <w:r>
        <w:rPr>
          <w:rFonts w:ascii="Arial" w:cs="Arial" w:eastAsia="Arial" w:hAnsi="Arial"/>
          <w:b/>
          <w:bCs/>
          <w:color w:val="1F3864"/>
          <w:sz w:val="32"/>
          <w:szCs w:val="32"/>
        </w:rPr>
        <w:t xml:space="preserve">2.  Theoretical and Macro-Finance Foundations</w:t>
      </w:r>
    </w:p>
    <w:p>
      <w:pPr>
        <w:pStyle w:val="Heading2"/>
        <w:spacing w:before="280" w:after="100"/>
      </w:pPr>
      <w:r>
        <w:rPr>
          <w:rFonts w:ascii="Arial" w:cs="Arial" w:eastAsia="Arial" w:hAnsi="Arial"/>
          <w:b/>
          <w:bCs/>
          <w:color w:val="2E5597"/>
          <w:sz w:val="26"/>
          <w:szCs w:val="26"/>
        </w:rPr>
        <w:t xml:space="preserve">2.1  The Fisher Effect: Inflation as the Nominal Yield Driver</w:t>
      </w:r>
    </w:p>
    <w:p>
      <w:pPr>
        <w:spacing w:after="120" w:line="276"/>
        <w:jc w:val="both"/>
      </w:pPr>
      <w:r>
        <w:rPr>
          <w:rFonts w:ascii="Arial" w:cs="Arial" w:eastAsia="Arial" w:hAnsi="Arial"/>
          <w:sz w:val="22"/>
          <w:szCs w:val="22"/>
        </w:rPr>
        <w:t xml:space="preserve">The theoretical bedrock of any inflation-yield linkage is Irving Fisher’s (1930) proposition that nominal interest rates move one-for-one with expected inflation, leaving the real rate unchanged in the long run. Empirical testing of this “Fisher effect” in a time-series framework was formalised by Mishkin (1992), whose influential study using U.S. data from 1953 to 1990 distinguished between the short-run and long-run Fisher effect using cointegration analysis.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Mishkin (1992)</w:t>
            </w:r>
          </w:p>
        </w:tc>
        <w:tc>
          <w:tcPr>
            <w:tcW w:type="dxa" w:w="7626"/>
            <w:tcBorders>
              <w:top w:val="single" w:color="AAAAAA" w:sz="1"/>
              <w:left w:val="single" w:color="AAAAAA" w:sz="1"/>
              <w:bottom w:val="single" w:color="AAAAAA" w:sz="1"/>
              <w:right w:val="single" w:color="AAAAAA" w:sz="1"/>
            </w:tcBorders>
            <w:tcMar>
              <w:top w:type="dxa" w:w="80"/>
              <w:left w:type="dxa" w:w="160"/>
              <w:bottom w:type="dxa" w:w="80"/>
              <w:right w:type="dxa" w:w="120"/>
            </w:tcMar>
          </w:tcPr>
          <w:p>
            <w:pPr>
              <w:spacing w:after="60" w:line="252"/>
            </w:pPr>
            <w:r>
              <w:rPr>
                <w:rFonts w:ascii="Arial" w:cs="Arial" w:eastAsia="Arial" w:hAnsi="Arial"/>
                <w:sz w:val="20"/>
                <w:szCs w:val="20"/>
              </w:rPr>
              <w:t xml:space="preserve">Full citation: Mishkin, F.S. (1992). Is the Fisher Effect for Real? A Reexamination of the Relationship</w:t>
            </w:r>
          </w:p>
          <w:p>
            <w:pPr>
              <w:spacing w:after="60" w:line="252"/>
            </w:pPr>
            <w:r>
              <w:rPr>
                <w:rFonts w:ascii="Arial" w:cs="Arial" w:eastAsia="Arial" w:hAnsi="Arial"/>
                <w:sz w:val="20"/>
                <w:szCs w:val="20"/>
              </w:rPr>
              <w:t xml:space="preserve">Between Inflation and Interest Rates. Journal of Monetary Economics, 30(2), 195–215.</w:t>
            </w:r>
          </w:p>
          <w:p>
            <w:pPr>
              <w:spacing w:after="60" w:line="252"/>
            </w:pPr>
            <w:r>
              <w:rPr>
                <w:rFonts w:ascii="Arial" w:cs="Arial" w:eastAsia="Arial" w:hAnsi="Arial"/>
                <w:sz w:val="20"/>
                <w:szCs w:val="20"/>
              </w:rPr>
              <w:t xml:space="preserve"/>
            </w:r>
          </w:p>
          <w:p>
            <w:pPr>
              <w:spacing w:after="60" w:line="252"/>
            </w:pPr>
            <w:r>
              <w:rPr>
                <w:rFonts w:ascii="Arial" w:cs="Arial" w:eastAsia="Arial" w:hAnsi="Arial"/>
                <w:sz w:val="20"/>
                <w:szCs w:val="20"/>
              </w:rPr>
              <w:t xml:space="preserve">Key finding: Short-run Fisher effect is absent — changes in inflation do not immediately raise nominal</w:t>
            </w:r>
          </w:p>
          <w:p>
            <w:pPr>
              <w:spacing w:after="60" w:line="252"/>
            </w:pPr>
            <w:r>
              <w:rPr>
                <w:rFonts w:ascii="Arial" w:cs="Arial" w:eastAsia="Arial" w:hAnsi="Arial"/>
                <w:sz w:val="20"/>
                <w:szCs w:val="20"/>
              </w:rPr>
              <w:t xml:space="preserve">rates. However, a strong long-run Fisher effect exists: when inflation and interest rates share a</w:t>
            </w:r>
          </w:p>
          <w:p>
            <w:pPr>
              <w:spacing w:after="60" w:line="252"/>
            </w:pPr>
            <w:r>
              <w:rPr>
                <w:rFonts w:ascii="Arial" w:cs="Arial" w:eastAsia="Arial" w:hAnsi="Arial"/>
                <w:sz w:val="20"/>
                <w:szCs w:val="20"/>
              </w:rPr>
              <w:t xml:space="preserve">common stochastic trend (cointegration), nominal yields adjust fully to permanent inflation shifts.</w:t>
            </w:r>
          </w:p>
          <w:p>
            <w:pPr>
              <w:spacing w:after="60" w:line="252"/>
            </w:pPr>
            <w:r>
              <w:rPr>
                <w:rFonts w:ascii="Arial" w:cs="Arial" w:eastAsia="Arial" w:hAnsi="Arial"/>
                <w:sz w:val="20"/>
                <w:szCs w:val="20"/>
              </w:rPr>
              <w:t xml:space="preserve"/>
            </w:r>
          </w:p>
          <w:p>
            <w:pPr>
              <w:spacing w:after="60" w:line="252"/>
            </w:pPr>
            <w:r>
              <w:rPr>
                <w:rFonts w:ascii="Arial" w:cs="Arial" w:eastAsia="Arial" w:hAnsi="Arial"/>
                <w:sz w:val="20"/>
                <w:szCs w:val="20"/>
              </w:rPr>
              <w:t xml:space="preserve">Methodological contribution: First systematic application of cointegration (Engle-Granger, Johansen)</w:t>
            </w:r>
          </w:p>
          <w:p>
            <w:pPr>
              <w:spacing w:after="60" w:line="252"/>
            </w:pPr>
            <w:r>
              <w:rPr>
                <w:rFonts w:ascii="Arial" w:cs="Arial" w:eastAsia="Arial" w:hAnsi="Arial"/>
                <w:sz w:val="20"/>
                <w:szCs w:val="20"/>
              </w:rPr>
              <w:t xml:space="preserve">to test Fisher’s hypothesis, establishing the template for subsequent macro-finance time-series work.</w:t>
            </w:r>
          </w:p>
          <w:p>
            <w:pPr>
              <w:spacing w:after="60" w:line="252"/>
            </w:pPr>
            <w:r>
              <w:rPr>
                <w:rFonts w:ascii="Arial" w:cs="Arial" w:eastAsia="Arial" w:hAnsi="Arial"/>
                <w:sz w:val="20"/>
                <w:szCs w:val="20"/>
              </w:rPr>
              <w:t xml:space="preserve"/>
            </w:r>
          </w:p>
          <w:p>
            <w:pPr>
              <w:spacing w:after="60" w:line="252"/>
            </w:pPr>
            <w:r>
              <w:rPr>
                <w:rFonts w:ascii="Arial" w:cs="Arial" w:eastAsia="Arial" w:hAnsi="Arial"/>
                <w:sz w:val="20"/>
                <w:szCs w:val="20"/>
              </w:rPr>
              <w:t xml:space="preserve">Relevance: Directly motivates the inclusion of CPI (or its first difference) as the primary exogenous</w:t>
            </w:r>
          </w:p>
          <w:p>
            <w:pPr>
              <w:spacing w:after="60" w:line="252"/>
            </w:pPr>
            <w:r>
              <w:rPr>
                <w:rFonts w:ascii="Arial" w:cs="Arial" w:eastAsia="Arial" w:hAnsi="Arial"/>
                <w:sz w:val="20"/>
                <w:szCs w:val="20"/>
              </w:rPr>
              <w:t xml:space="preserve">variable in ARIMAX/SARIMAX models of bond yields. The short-run / long-run distinction also justifies</w:t>
            </w:r>
          </w:p>
          <w:p>
            <w:pPr>
              <w:spacing w:after="60" w:line="252"/>
            </w:pPr>
            <w:r>
              <w:rPr>
                <w:rFonts w:ascii="Arial" w:cs="Arial" w:eastAsia="Arial" w:hAnsi="Arial"/>
                <w:sz w:val="20"/>
                <w:szCs w:val="20"/>
              </w:rPr>
              <w:t xml:space="preserve">the I(1) differencing used in ARIMA-family models and, if cointegration is found between yields and</w:t>
            </w:r>
          </w:p>
          <w:p>
            <w:pPr>
              <w:spacing w:after="60" w:line="252"/>
            </w:pPr>
            <w:r>
              <w:rPr>
                <w:rFonts w:ascii="Arial" w:cs="Arial" w:eastAsia="Arial" w:hAnsi="Arial"/>
                <w:sz w:val="20"/>
                <w:szCs w:val="20"/>
              </w:rPr>
              <w:t xml:space="preserve">inflation, suggests a VECM robustness check.</w:t>
            </w:r>
          </w:p>
        </w:tc>
      </w:tr>
    </w:tbl>
    <w:p>
      <w:pPr>
        <w:spacing w:after="120"/>
      </w:pPr>
      <w:r>
        <w:t xml:space="preserve"/>
      </w:r>
    </w:p>
    <w:p>
      <w:pPr>
        <w:spacing w:after="120" w:line="276"/>
        <w:jc w:val="both"/>
      </w:pPr>
      <w:r>
        <w:rPr>
          <w:rFonts w:ascii="Arial" w:cs="Arial" w:eastAsia="Arial" w:hAnsi="Arial"/>
          <w:sz w:val="22"/>
          <w:szCs w:val="22"/>
        </w:rPr>
        <w:t xml:space="preserve">Subsequent empirical work has broadly confirmed the long-run Fisher effect across advanced economies, though the short-run transmission depends heavily on central bank credibility and the monetary policy framework. For the euro area and small open economies such as Ireland, ECB inflation targeting provides a strong institutional anchor that modifies but does not eliminate the Fisher channel.</w:t>
      </w:r>
    </w:p>
    <w:p>
      <w:pPr>
        <w:spacing w:after="160"/>
      </w:pPr>
      <w:r>
        <w:t xml:space="preserve"/>
      </w:r>
    </w:p>
    <w:p>
      <w:pPr>
        <w:pStyle w:val="Heading2"/>
        <w:spacing w:before="280" w:after="100"/>
      </w:pPr>
      <w:r>
        <w:rPr>
          <w:rFonts w:ascii="Arial" w:cs="Arial" w:eastAsia="Arial" w:hAnsi="Arial"/>
          <w:b/>
          <w:bCs/>
          <w:color w:val="2E5597"/>
          <w:sz w:val="26"/>
          <w:szCs w:val="26"/>
        </w:rPr>
        <w:t xml:space="preserve">2.2  Fiscal Fundamentals and Sovereign Yield Spreads</w:t>
      </w:r>
    </w:p>
    <w:p>
      <w:pPr>
        <w:spacing w:after="120" w:line="276"/>
        <w:jc w:val="both"/>
      </w:pPr>
      <w:r>
        <w:rPr>
          <w:rFonts w:ascii="Arial" w:cs="Arial" w:eastAsia="Arial" w:hAnsi="Arial"/>
          <w:sz w:val="22"/>
          <w:szCs w:val="22"/>
        </w:rPr>
        <w:t xml:space="preserve">Beyond inflation expectations, a large empirical literature documents the role of fiscal positions in determining sovereign borrowing costs. The most widely cited macro-determinants study is Baldacci and Kumar (2010), whose cross-country panel analysis provides both the theoretical framework and a comprehensive variable list used in subsequent work.</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Baldacci &amp; Kumar (2010)</w:t>
            </w:r>
          </w:p>
        </w:tc>
        <w:tc>
          <w:tcPr>
            <w:tcW w:type="dxa" w:w="7626"/>
            <w:tcBorders>
              <w:top w:val="single" w:color="AAAAAA" w:sz="1"/>
              <w:left w:val="single" w:color="AAAAAA" w:sz="1"/>
              <w:bottom w:val="single" w:color="AAAAAA" w:sz="1"/>
              <w:right w:val="single" w:color="AAAAAA" w:sz="1"/>
            </w:tcBorders>
            <w:tcMar>
              <w:top w:type="dxa" w:w="80"/>
              <w:left w:type="dxa" w:w="160"/>
              <w:bottom w:type="dxa" w:w="80"/>
              <w:right w:type="dxa" w:w="120"/>
            </w:tcMar>
          </w:tcPr>
          <w:p>
            <w:pPr>
              <w:spacing w:after="60" w:line="252"/>
            </w:pPr>
            <w:r>
              <w:rPr>
                <w:rFonts w:ascii="Arial" w:cs="Arial" w:eastAsia="Arial" w:hAnsi="Arial"/>
                <w:sz w:val="20"/>
                <w:szCs w:val="20"/>
              </w:rPr>
              <w:t xml:space="preserve">Full citation: Baldacci, E. and Kumar, M.S. (2010). Fiscal Deficits, Public Debt, and Sovereign Bond Yields.</w:t>
            </w:r>
          </w:p>
          <w:p>
            <w:pPr>
              <w:spacing w:after="60" w:line="252"/>
            </w:pPr>
            <w:r>
              <w:rPr>
                <w:rFonts w:ascii="Arial" w:cs="Arial" w:eastAsia="Arial" w:hAnsi="Arial"/>
                <w:sz w:val="20"/>
                <w:szCs w:val="20"/>
              </w:rPr>
              <w:t xml:space="preserve">IMF Working Paper WP/10/184. International Monetary Fund, Washington D.C.</w:t>
            </w:r>
          </w:p>
          <w:p>
            <w:pPr>
              <w:spacing w:after="60" w:line="252"/>
            </w:pPr>
            <w:r>
              <w:rPr>
                <w:rFonts w:ascii="Arial" w:cs="Arial" w:eastAsia="Arial" w:hAnsi="Arial"/>
                <w:sz w:val="20"/>
                <w:szCs w:val="20"/>
              </w:rPr>
              <w:t xml:space="preserve"/>
            </w:r>
          </w:p>
          <w:p>
            <w:pPr>
              <w:spacing w:after="60" w:line="252"/>
            </w:pPr>
            <w:r>
              <w:rPr>
                <w:rFonts w:ascii="Arial" w:cs="Arial" w:eastAsia="Arial" w:hAnsi="Arial"/>
                <w:sz w:val="20"/>
                <w:szCs w:val="20"/>
              </w:rPr>
              <w:t xml:space="preserve">Key findings: Higher fiscal deficits and rising public debt ratios are associated with significantly higher</w:t>
            </w:r>
          </w:p>
          <w:p>
            <w:pPr>
              <w:spacing w:after="60" w:line="252"/>
            </w:pPr>
            <w:r>
              <w:rPr>
                <w:rFonts w:ascii="Arial" w:cs="Arial" w:eastAsia="Arial" w:hAnsi="Arial"/>
                <w:sz w:val="20"/>
                <w:szCs w:val="20"/>
              </w:rPr>
              <w:t xml:space="preserve">long-term government bond yields, even after controlling for monetary conditions and global risk factors.</w:t>
            </w:r>
          </w:p>
          <w:p>
            <w:pPr>
              <w:spacing w:after="60" w:line="252"/>
            </w:pPr>
            <w:r>
              <w:rPr>
                <w:rFonts w:ascii="Arial" w:cs="Arial" w:eastAsia="Arial" w:hAnsi="Arial"/>
                <w:sz w:val="20"/>
                <w:szCs w:val="20"/>
              </w:rPr>
              <w:t xml:space="preserve">The effect of deficits is non-linear — larger when debt levels are already elevated (above ~90% of GDP).</w:t>
            </w:r>
          </w:p>
          <w:p>
            <w:pPr>
              <w:spacing w:after="60" w:line="252"/>
            </w:pPr>
            <w:r>
              <w:rPr>
                <w:rFonts w:ascii="Arial" w:cs="Arial" w:eastAsia="Arial" w:hAnsi="Arial"/>
                <w:sz w:val="20"/>
                <w:szCs w:val="20"/>
              </w:rPr>
              <w:t xml:space="preserve">Global risk appetite (proxied by the VIX) and U.S. Treasury yields are also significant determinants,</w:t>
            </w:r>
          </w:p>
          <w:p>
            <w:pPr>
              <w:spacing w:after="60" w:line="252"/>
            </w:pPr>
            <w:r>
              <w:rPr>
                <w:rFonts w:ascii="Arial" w:cs="Arial" w:eastAsia="Arial" w:hAnsi="Arial"/>
                <w:sz w:val="20"/>
                <w:szCs w:val="20"/>
              </w:rPr>
              <w:t xml:space="preserve">consistent with global factor dominance for smaller open economies.</w:t>
            </w:r>
          </w:p>
          <w:p>
            <w:pPr>
              <w:spacing w:after="60" w:line="252"/>
            </w:pPr>
            <w:r>
              <w:rPr>
                <w:rFonts w:ascii="Arial" w:cs="Arial" w:eastAsia="Arial" w:hAnsi="Arial"/>
                <w:sz w:val="20"/>
                <w:szCs w:val="20"/>
              </w:rPr>
              <w:t xml:space="preserve"/>
            </w:r>
          </w:p>
          <w:p>
            <w:pPr>
              <w:spacing w:after="60" w:line="252"/>
            </w:pPr>
            <w:r>
              <w:rPr>
                <w:rFonts w:ascii="Arial" w:cs="Arial" w:eastAsia="Arial" w:hAnsi="Arial"/>
                <w:sz w:val="20"/>
                <w:szCs w:val="20"/>
              </w:rPr>
              <w:t xml:space="preserve">Sample: Panel of 31 advanced and emerging economies, 1980–2008.</w:t>
            </w:r>
          </w:p>
          <w:p>
            <w:pPr>
              <w:spacing w:after="60" w:line="252"/>
            </w:pPr>
            <w:r>
              <w:rPr>
                <w:rFonts w:ascii="Arial" w:cs="Arial" w:eastAsia="Arial" w:hAnsi="Arial"/>
                <w:sz w:val="20"/>
                <w:szCs w:val="20"/>
              </w:rPr>
              <w:t xml:space="preserve"/>
            </w:r>
          </w:p>
          <w:p>
            <w:pPr>
              <w:spacing w:after="60" w:line="252"/>
            </w:pPr>
            <w:r>
              <w:rPr>
                <w:rFonts w:ascii="Arial" w:cs="Arial" w:eastAsia="Arial" w:hAnsi="Arial"/>
                <w:sz w:val="20"/>
                <w:szCs w:val="20"/>
              </w:rPr>
              <w:t xml:space="preserve">Relevance: Provides theoretical and empirical justification for the variable selection adopted in this study,</w:t>
            </w:r>
          </w:p>
          <w:p>
            <w:pPr>
              <w:spacing w:after="60" w:line="252"/>
            </w:pPr>
            <w:r>
              <w:rPr>
                <w:rFonts w:ascii="Arial" w:cs="Arial" w:eastAsia="Arial" w:hAnsi="Arial"/>
                <w:sz w:val="20"/>
                <w:szCs w:val="20"/>
              </w:rPr>
              <w:t xml:space="preserve">specifically: policy interest rate, CPI, public debt/GDP, fiscal balance, U.S. 10Y Treasury yield, and VIX.</w:t>
            </w:r>
          </w:p>
          <w:p>
            <w:pPr>
              <w:spacing w:after="60" w:line="252"/>
            </w:pPr>
            <w:r>
              <w:rPr>
                <w:rFonts w:ascii="Arial" w:cs="Arial" w:eastAsia="Arial" w:hAnsi="Arial"/>
                <w:sz w:val="20"/>
                <w:szCs w:val="20"/>
              </w:rPr>
              <w:t xml:space="preserve">The finding that global factors dominate for small open economies (e.g. Ireland) directly shapes the</w:t>
            </w:r>
          </w:p>
          <w:p>
            <w:pPr>
              <w:spacing w:after="60" w:line="252"/>
            </w:pPr>
            <w:r>
              <w:rPr>
                <w:rFonts w:ascii="Arial" w:cs="Arial" w:eastAsia="Arial" w:hAnsi="Arial"/>
                <w:sz w:val="20"/>
                <w:szCs w:val="20"/>
              </w:rPr>
              <w:t xml:space="preserve">Cholesky ordering used in VAR-based robustness checks.</w:t>
            </w:r>
          </w:p>
        </w:tc>
      </w:tr>
    </w:tbl>
    <w:p>
      <w:pPr>
        <w:spacing w:after="120"/>
      </w:pPr>
      <w:r>
        <w:t xml:space="preserve"/>
      </w:r>
    </w:p>
    <w:p>
      <w:pPr>
        <w:pStyle w:val="Heading2"/>
        <w:spacing w:before="280" w:after="100"/>
      </w:pPr>
      <w:r>
        <w:rPr>
          <w:rFonts w:ascii="Arial" w:cs="Arial" w:eastAsia="Arial" w:hAnsi="Arial"/>
          <w:b/>
          <w:bCs/>
          <w:color w:val="2E5597"/>
          <w:sz w:val="26"/>
          <w:szCs w:val="26"/>
        </w:rPr>
        <w:t xml:space="preserve">2.3  Long- and Short-Run Yield Determinants in Advanced Economies</w:t>
      </w:r>
    </w:p>
    <w:p>
      <w:pPr>
        <w:spacing w:after="120" w:line="276"/>
        <w:jc w:val="both"/>
      </w:pPr>
      <w:r>
        <w:rPr>
          <w:rFonts w:ascii="Arial" w:cs="Arial" w:eastAsia="Arial" w:hAnsi="Arial"/>
          <w:sz w:val="22"/>
          <w:szCs w:val="22"/>
        </w:rPr>
        <w:t xml:space="preserve">Poghosyan (2014) extends the macro-determinants approach to a longer panel with explicit attention to the dynamics of adjustment, addressing the question of whether yields revert to fundamentals and how quickly. This study is particularly relevant for any forecasting model that must specify the lag structure of exogenous variables.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Poghosyan (2014)</w:t>
            </w:r>
          </w:p>
        </w:tc>
        <w:tc>
          <w:tcPr>
            <w:tcW w:type="dxa" w:w="7626"/>
            <w:tcBorders>
              <w:top w:val="single" w:color="AAAAAA" w:sz="1"/>
              <w:left w:val="single" w:color="AAAAAA" w:sz="1"/>
              <w:bottom w:val="single" w:color="AAAAAA" w:sz="1"/>
              <w:right w:val="single" w:color="AAAAAA" w:sz="1"/>
            </w:tcBorders>
            <w:tcMar>
              <w:top w:type="dxa" w:w="80"/>
              <w:left w:type="dxa" w:w="160"/>
              <w:bottom w:type="dxa" w:w="80"/>
              <w:right w:type="dxa" w:w="120"/>
            </w:tcMar>
          </w:tcPr>
          <w:p>
            <w:pPr>
              <w:spacing w:after="60" w:line="252"/>
            </w:pPr>
            <w:r>
              <w:rPr>
                <w:rFonts w:ascii="Arial" w:cs="Arial" w:eastAsia="Arial" w:hAnsi="Arial"/>
                <w:sz w:val="20"/>
                <w:szCs w:val="20"/>
              </w:rPr>
              <w:t xml:space="preserve">Full citation: Poghosyan, T. (2014). Long-Run and Short-Run Determinants of Sovereign Bond Yields in</w:t>
            </w:r>
          </w:p>
          <w:p>
            <w:pPr>
              <w:spacing w:after="60" w:line="252"/>
            </w:pPr>
            <w:r>
              <w:rPr>
                <w:rFonts w:ascii="Arial" w:cs="Arial" w:eastAsia="Arial" w:hAnsi="Arial"/>
                <w:sz w:val="20"/>
                <w:szCs w:val="20"/>
              </w:rPr>
              <w:t xml:space="preserve">Advanced Economies. Economic Systems, 38(1), 100–114.</w:t>
            </w:r>
          </w:p>
          <w:p>
            <w:pPr>
              <w:spacing w:after="60" w:line="252"/>
            </w:pPr>
            <w:r>
              <w:rPr>
                <w:rFonts w:ascii="Arial" w:cs="Arial" w:eastAsia="Arial" w:hAnsi="Arial"/>
                <w:sz w:val="20"/>
                <w:szCs w:val="20"/>
              </w:rPr>
              <w:t xml:space="preserve"/>
            </w:r>
          </w:p>
          <w:p>
            <w:pPr>
              <w:spacing w:after="60" w:line="252"/>
            </w:pPr>
            <w:r>
              <w:rPr>
                <w:rFonts w:ascii="Arial" w:cs="Arial" w:eastAsia="Arial" w:hAnsi="Arial"/>
                <w:sz w:val="20"/>
                <w:szCs w:val="20"/>
              </w:rPr>
              <w:t xml:space="preserve">Key findings: In a panel error-correction framework, long-run yields are primarily driven by economic</w:t>
            </w:r>
          </w:p>
          <w:p>
            <w:pPr>
              <w:spacing w:after="60" w:line="252"/>
            </w:pPr>
            <w:r>
              <w:rPr>
                <w:rFonts w:ascii="Arial" w:cs="Arial" w:eastAsia="Arial" w:hAnsi="Arial"/>
                <w:sz w:val="20"/>
                <w:szCs w:val="20"/>
              </w:rPr>
              <w:t xml:space="preserve">growth expectations and public debt trajectories. Short-run dynamics are dominated by global risk factors</w:t>
            </w:r>
          </w:p>
          <w:p>
            <w:pPr>
              <w:spacing w:after="60" w:line="252"/>
            </w:pPr>
            <w:r>
              <w:rPr>
                <w:rFonts w:ascii="Arial" w:cs="Arial" w:eastAsia="Arial" w:hAnsi="Arial"/>
                <w:sz w:val="20"/>
                <w:szCs w:val="20"/>
              </w:rPr>
              <w:t xml:space="preserve">— the U.S. yield and VIX — with domestic macro variables (CPI, output gap) playing a secondary role.</w:t>
            </w:r>
          </w:p>
          <w:p>
            <w:pPr>
              <w:spacing w:after="60" w:line="252"/>
            </w:pPr>
            <w:r>
              <w:rPr>
                <w:rFonts w:ascii="Arial" w:cs="Arial" w:eastAsia="Arial" w:hAnsi="Arial"/>
                <w:sz w:val="20"/>
                <w:szCs w:val="20"/>
              </w:rPr>
              <w:t xml:space="preserve">Speed of adjustment is slow: only ~30% of the gap between actual and fundamental yields closes per year.</w:t>
            </w:r>
          </w:p>
          <w:p>
            <w:pPr>
              <w:spacing w:after="60" w:line="252"/>
            </w:pPr>
            <w:r>
              <w:rPr>
                <w:rFonts w:ascii="Arial" w:cs="Arial" w:eastAsia="Arial" w:hAnsi="Arial"/>
                <w:sz w:val="20"/>
                <w:szCs w:val="20"/>
              </w:rPr>
              <w:t xml:space="preserve"/>
            </w:r>
          </w:p>
          <w:p>
            <w:pPr>
              <w:spacing w:after="60" w:line="252"/>
            </w:pPr>
            <w:r>
              <w:rPr>
                <w:rFonts w:ascii="Arial" w:cs="Arial" w:eastAsia="Arial" w:hAnsi="Arial"/>
                <w:sz w:val="20"/>
                <w:szCs w:val="20"/>
              </w:rPr>
              <w:t xml:space="preserve">Sample: 22 advanced economies, 1980–2010, quarterly frequency.</w:t>
            </w:r>
          </w:p>
          <w:p>
            <w:pPr>
              <w:spacing w:after="60" w:line="252"/>
            </w:pPr>
            <w:r>
              <w:rPr>
                <w:rFonts w:ascii="Arial" w:cs="Arial" w:eastAsia="Arial" w:hAnsi="Arial"/>
                <w:sz w:val="20"/>
                <w:szCs w:val="20"/>
              </w:rPr>
              <w:t xml:space="preserve"/>
            </w:r>
          </w:p>
          <w:p>
            <w:pPr>
              <w:spacing w:after="60" w:line="252"/>
            </w:pPr>
            <w:r>
              <w:rPr>
                <w:rFonts w:ascii="Arial" w:cs="Arial" w:eastAsia="Arial" w:hAnsi="Arial"/>
                <w:sz w:val="20"/>
                <w:szCs w:val="20"/>
              </w:rPr>
              <w:t xml:space="preserve">Relevance: Directly informs model design. The separation of long-run and short-run effects motivates the</w:t>
            </w:r>
          </w:p>
          <w:p>
            <w:pPr>
              <w:spacing w:after="60" w:line="252"/>
            </w:pPr>
            <w:r>
              <w:rPr>
                <w:rFonts w:ascii="Arial" w:cs="Arial" w:eastAsia="Arial" w:hAnsi="Arial"/>
                <w:sz w:val="20"/>
                <w:szCs w:val="20"/>
              </w:rPr>
              <w:t xml:space="preserve">use of d=1 differencing in ARIMAX (capturing short-run dynamics) while also justifying a cointegration</w:t>
            </w:r>
          </w:p>
          <w:p>
            <w:pPr>
              <w:spacing w:after="60" w:line="252"/>
            </w:pPr>
            <w:r>
              <w:rPr>
                <w:rFonts w:ascii="Arial" w:cs="Arial" w:eastAsia="Arial" w:hAnsi="Arial"/>
                <w:sz w:val="20"/>
                <w:szCs w:val="20"/>
              </w:rPr>
              <w:t xml:space="preserve">robustness check. The dominance of global factors over domestic CPI in the short run is a testable</w:t>
            </w:r>
          </w:p>
          <w:p>
            <w:pPr>
              <w:spacing w:after="60" w:line="252"/>
            </w:pPr>
            <w:r>
              <w:rPr>
                <w:rFonts w:ascii="Arial" w:cs="Arial" w:eastAsia="Arial" w:hAnsi="Arial"/>
                <w:sz w:val="20"/>
                <w:szCs w:val="20"/>
              </w:rPr>
              <w:t xml:space="preserve">hypothesis that this study can address for its chosen country.</w:t>
            </w:r>
          </w:p>
        </w:tc>
      </w:tr>
    </w:tbl>
    <w:p>
      <w:pPr>
        <w:spacing w:after="120"/>
      </w:pPr>
      <w:r>
        <w:t xml:space="preserve"/>
      </w:r>
    </w:p>
    <w:p>
      <w:pPr>
        <w:spacing w:after="120" w:line="276"/>
        <w:jc w:val="both"/>
      </w:pPr>
      <w:r>
        <w:rPr>
          <w:rFonts w:ascii="Arial" w:cs="Arial" w:eastAsia="Arial" w:hAnsi="Arial"/>
          <w:sz w:val="22"/>
          <w:szCs w:val="22"/>
        </w:rPr>
        <w:t xml:space="preserve">Together, Baldacci and Kumar (2010) and Poghosyan (2014) establish the core variable set and the theoretical hierarchy: global risk factors (U.S. yield, VIX) dominate short-run dynamics for small open economies, while domestic fundamentals (CPI, debt, growth) govern long-run equilibrium. Any ARIMAX or SARIMAX model of a sovereign yield must at minimum include representatives from both blocks.</w:t>
      </w:r>
    </w:p>
    <w:p>
      <w:pPr>
        <w:spacing w:after="240"/>
      </w:pPr>
      <w:r>
        <w:t xml:space="preserve"/>
      </w:r>
    </w:p>
    <w:p>
      <w:pPr>
        <w:pStyle w:val="Heading1"/>
        <w:pBdr>
          <w:bottom w:val="single" w:color="1F3864" w:sz="4" w:space="4"/>
        </w:pBdr>
        <w:spacing w:before="360" w:after="160"/>
      </w:pPr>
      <w:r>
        <w:rPr>
          <w:rFonts w:ascii="Arial" w:cs="Arial" w:eastAsia="Arial" w:hAnsi="Arial"/>
          <w:b/>
          <w:bCs/>
          <w:color w:val="1F3864"/>
          <w:sz w:val="32"/>
          <w:szCs w:val="32"/>
        </w:rPr>
        <w:t xml:space="preserve">3.  Time-Series Modelling of CPI and Inflation</w:t>
      </w:r>
    </w:p>
    <w:p>
      <w:pPr>
        <w:pStyle w:val="Heading2"/>
        <w:spacing w:before="280" w:after="100"/>
      </w:pPr>
      <w:r>
        <w:rPr>
          <w:rFonts w:ascii="Arial" w:cs="Arial" w:eastAsia="Arial" w:hAnsi="Arial"/>
          <w:b/>
          <w:bCs/>
          <w:color w:val="2E5597"/>
          <w:sz w:val="26"/>
          <w:szCs w:val="26"/>
        </w:rPr>
        <w:t xml:space="preserve">3.1  ARIMAX for CPI Forecasting: Malaysia Case</w:t>
      </w:r>
    </w:p>
    <w:p>
      <w:pPr>
        <w:spacing w:after="120" w:line="276"/>
        <w:jc w:val="both"/>
      </w:pPr>
      <w:r>
        <w:rPr>
          <w:rFonts w:ascii="Arial" w:cs="Arial" w:eastAsia="Arial" w:hAnsi="Arial"/>
          <w:sz w:val="22"/>
          <w:szCs w:val="22"/>
        </w:rPr>
        <w:t xml:space="preserve">Huei and Kamisan (2025) provide the most methodologically proximate study to the present work on the CPI side. The authors use monthly Malaysian CPI data from January 2014 to December 2020 and investigate whether incorporating fuel price indices as exogenous variables improves over a univariate ARIMA baseline.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Huei &amp; Kamisan (2025)</w:t>
            </w:r>
          </w:p>
        </w:tc>
        <w:tc>
          <w:tcPr>
            <w:tcW w:type="dxa" w:w="7626"/>
            <w:tcBorders>
              <w:top w:val="single" w:color="AAAAAA" w:sz="1"/>
              <w:left w:val="single" w:color="AAAAAA" w:sz="1"/>
              <w:bottom w:val="single" w:color="AAAAAA" w:sz="1"/>
              <w:right w:val="single" w:color="AAAAAA" w:sz="1"/>
            </w:tcBorders>
            <w:tcMar>
              <w:top w:type="dxa" w:w="80"/>
              <w:left w:type="dxa" w:w="160"/>
              <w:bottom w:type="dxa" w:w="80"/>
              <w:right w:type="dxa" w:w="120"/>
            </w:tcMar>
          </w:tcPr>
          <w:p>
            <w:pPr>
              <w:spacing w:after="60" w:line="252"/>
            </w:pPr>
            <w:r>
              <w:rPr>
                <w:rFonts w:ascii="Arial" w:cs="Arial" w:eastAsia="Arial" w:hAnsi="Arial"/>
                <w:sz w:val="20"/>
                <w:szCs w:val="20"/>
              </w:rPr>
              <w:t xml:space="preserve">Full citation: Pow Jing Huei and Nur Arina Bazilah Kamisan (2025). Forecasting the Consumer Price Index</w:t>
            </w:r>
          </w:p>
          <w:p>
            <w:pPr>
              <w:spacing w:after="60" w:line="252"/>
            </w:pPr>
            <w:r>
              <w:rPr>
                <w:rFonts w:ascii="Arial" w:cs="Arial" w:eastAsia="Arial" w:hAnsi="Arial"/>
                <w:sz w:val="20"/>
                <w:szCs w:val="20"/>
              </w:rPr>
              <w:t xml:space="preserve">(CPI) Using Time Series and Multiple Linear Regression Models: Analysing the Influence of Fuel Prices</w:t>
            </w:r>
          </w:p>
          <w:p>
            <w:pPr>
              <w:spacing w:after="60" w:line="252"/>
            </w:pPr>
            <w:r>
              <w:rPr>
                <w:rFonts w:ascii="Arial" w:cs="Arial" w:eastAsia="Arial" w:hAnsi="Arial"/>
                <w:sz w:val="20"/>
                <w:szCs w:val="20"/>
              </w:rPr>
              <w:t xml:space="preserve">on Inflation Trends. Proceedings of Science and Mathematics, Vol. 32, pp. 59–68.</w:t>
            </w:r>
          </w:p>
          <w:p>
            <w:pPr>
              <w:spacing w:after="60" w:line="252"/>
            </w:pPr>
            <w:r>
              <w:rPr>
                <w:rFonts w:ascii="Arial" w:cs="Arial" w:eastAsia="Arial" w:hAnsi="Arial"/>
                <w:sz w:val="20"/>
                <w:szCs w:val="20"/>
              </w:rPr>
              <w:t xml:space="preserve"/>
            </w:r>
          </w:p>
          <w:p>
            <w:pPr>
              <w:spacing w:after="60" w:line="252"/>
            </w:pPr>
            <w:r>
              <w:rPr>
                <w:rFonts w:ascii="Arial" w:cs="Arial" w:eastAsia="Arial" w:hAnsi="Arial"/>
                <w:sz w:val="20"/>
                <w:szCs w:val="20"/>
              </w:rPr>
              <w:t xml:space="preserve">Data: Monthly CPI and three fuel price series (piped gas, coal, Brent crude oil) for Malaysia,</w:t>
            </w:r>
          </w:p>
          <w:p>
            <w:pPr>
              <w:spacing w:after="60" w:line="252"/>
            </w:pPr>
            <w:r>
              <w:rPr>
                <w:rFonts w:ascii="Arial" w:cs="Arial" w:eastAsia="Arial" w:hAnsi="Arial"/>
                <w:sz w:val="20"/>
                <w:szCs w:val="20"/>
              </w:rPr>
              <w:t xml:space="preserve">January 2014 – December 2020 (72 observations).</w:t>
            </w:r>
          </w:p>
          <w:p>
            <w:pPr>
              <w:spacing w:after="60" w:line="252"/>
            </w:pPr>
            <w:r>
              <w:rPr>
                <w:rFonts w:ascii="Arial" w:cs="Arial" w:eastAsia="Arial" w:hAnsi="Arial"/>
                <w:sz w:val="20"/>
                <w:szCs w:val="20"/>
              </w:rPr>
              <w:t xml:space="preserve"/>
            </w:r>
          </w:p>
          <w:p>
            <w:pPr>
              <w:spacing w:after="60" w:line="252"/>
            </w:pPr>
            <w:r>
              <w:rPr>
                <w:rFonts w:ascii="Arial" w:cs="Arial" w:eastAsia="Arial" w:hAnsi="Arial"/>
                <w:sz w:val="20"/>
                <w:szCs w:val="20"/>
              </w:rPr>
              <w:t xml:space="preserve">Models estimated: ARIMA, ARIMAX (with all three fuel regressors), Multiple Linear Regression (MLR).</w:t>
            </w:r>
          </w:p>
          <w:p>
            <w:pPr>
              <w:spacing w:after="60" w:line="252"/>
            </w:pPr>
            <w:r>
              <w:rPr>
                <w:rFonts w:ascii="Arial" w:cs="Arial" w:eastAsia="Arial" w:hAnsi="Arial"/>
                <w:sz w:val="20"/>
                <w:szCs w:val="20"/>
              </w:rPr>
              <w:t xml:space="preserve"/>
            </w:r>
          </w:p>
          <w:p>
            <w:pPr>
              <w:spacing w:after="60" w:line="252"/>
            </w:pPr>
            <w:r>
              <w:rPr>
                <w:rFonts w:ascii="Arial" w:cs="Arial" w:eastAsia="Arial" w:hAnsi="Arial"/>
                <w:sz w:val="20"/>
                <w:szCs w:val="20"/>
              </w:rPr>
              <w:t xml:space="preserve">Key findings:</w:t>
            </w:r>
          </w:p>
          <w:p>
            <w:pPr>
              <w:spacing w:after="60" w:line="252"/>
            </w:pPr>
            <w:r>
              <w:rPr>
                <w:rFonts w:ascii="Arial" w:cs="Arial" w:eastAsia="Arial" w:hAnsi="Arial"/>
                <w:sz w:val="20"/>
                <w:szCs w:val="20"/>
              </w:rPr>
              <w:t xml:space="preserve">  • Pearson correlation: piped gas price r = 0.97, coal r = 0.76 with CPI — strongly correlated.</w:t>
            </w:r>
          </w:p>
          <w:p>
            <w:pPr>
              <w:spacing w:after="60" w:line="252"/>
            </w:pPr>
            <w:r>
              <w:rPr>
                <w:rFonts w:ascii="Arial" w:cs="Arial" w:eastAsia="Arial" w:hAnsi="Arial"/>
                <w:sz w:val="20"/>
                <w:szCs w:val="20"/>
              </w:rPr>
              <w:t xml:space="preserve">  • Best in-sample model: ARIMAX(0,1,2) incorporating all three fuel price variables.</w:t>
            </w:r>
          </w:p>
          <w:p>
            <w:pPr>
              <w:spacing w:after="60" w:line="252"/>
            </w:pPr>
            <w:r>
              <w:rPr>
                <w:rFonts w:ascii="Arial" w:cs="Arial" w:eastAsia="Arial" w:hAnsi="Arial"/>
                <w:sz w:val="20"/>
                <w:szCs w:val="20"/>
              </w:rPr>
              <w:t xml:space="preserve">  • Best out-of-sample model: ARIMA(1,1,1) — the simpler univariate model outperforms ARIMAX</w:t>
            </w:r>
          </w:p>
          <w:p>
            <w:pPr>
              <w:spacing w:after="60" w:line="252"/>
            </w:pPr>
            <w:r>
              <w:rPr>
                <w:rFonts w:ascii="Arial" w:cs="Arial" w:eastAsia="Arial" w:hAnsi="Arial"/>
                <w:sz w:val="20"/>
                <w:szCs w:val="20"/>
              </w:rPr>
              <w:t xml:space="preserve">    on RMSE, MAE, and MAPE for one-step-ahead out-of-sample forecasts.</w:t>
            </w:r>
          </w:p>
          <w:p>
            <w:pPr>
              <w:spacing w:after="60" w:line="252"/>
            </w:pPr>
            <w:r>
              <w:rPr>
                <w:rFonts w:ascii="Arial" w:cs="Arial" w:eastAsia="Arial" w:hAnsi="Arial"/>
                <w:sz w:val="20"/>
                <w:szCs w:val="20"/>
              </w:rPr>
              <w:t xml:space="preserve">  • Brent crude oil showed the weakest individual correlation (r = 0.55) but remained in the ARIMAX.</w:t>
            </w:r>
          </w:p>
          <w:p>
            <w:pPr>
              <w:spacing w:after="60" w:line="252"/>
            </w:pPr>
            <w:r>
              <w:rPr>
                <w:rFonts w:ascii="Arial" w:cs="Arial" w:eastAsia="Arial" w:hAnsi="Arial"/>
                <w:sz w:val="20"/>
                <w:szCs w:val="20"/>
              </w:rPr>
              <w:t xml:space="preserve"/>
            </w:r>
          </w:p>
          <w:p>
            <w:pPr>
              <w:spacing w:after="60" w:line="252"/>
            </w:pPr>
            <w:r>
              <w:rPr>
                <w:rFonts w:ascii="Arial" w:cs="Arial" w:eastAsia="Arial" w:hAnsi="Arial"/>
                <w:sz w:val="20"/>
                <w:szCs w:val="20"/>
              </w:rPr>
              <w:t xml:space="preserve">Critical implication: The in-sample vs. out-of-sample reversal is a canonical overfitting warning.</w:t>
            </w:r>
          </w:p>
          <w:p>
            <w:pPr>
              <w:spacing w:after="60" w:line="252"/>
            </w:pPr>
            <w:r>
              <w:rPr>
                <w:rFonts w:ascii="Arial" w:cs="Arial" w:eastAsia="Arial" w:hAnsi="Arial"/>
                <w:sz w:val="20"/>
                <w:szCs w:val="20"/>
              </w:rPr>
              <w:t xml:space="preserve">Adding exogenous variables improves fit on training data but not necessarily forecast accuracy.</w:t>
            </w:r>
          </w:p>
          <w:p>
            <w:pPr>
              <w:spacing w:after="60" w:line="252"/>
            </w:pPr>
            <w:r>
              <w:rPr>
                <w:rFonts w:ascii="Arial" w:cs="Arial" w:eastAsia="Arial" w:hAnsi="Arial"/>
                <w:sz w:val="20"/>
                <w:szCs w:val="20"/>
              </w:rPr>
              <w:t xml:space="preserve">This study’s bond yield analysis should report both in-sample (AIC/BIC) and out-of-sample (RMSE/MAE)</w:t>
            </w:r>
          </w:p>
          <w:p>
            <w:pPr>
              <w:spacing w:after="60" w:line="252"/>
            </w:pPr>
            <w:r>
              <w:rPr>
                <w:rFonts w:ascii="Arial" w:cs="Arial" w:eastAsia="Arial" w:hAnsi="Arial"/>
                <w:sz w:val="20"/>
                <w:szCs w:val="20"/>
              </w:rPr>
              <w:t xml:space="preserve">metrics to avoid drawing conclusions from in-sample fit alone.</w:t>
            </w:r>
          </w:p>
        </w:tc>
      </w:tr>
    </w:tbl>
    <w:p>
      <w:pPr>
        <w:spacing w:after="120"/>
      </w:pPr>
      <w:r>
        <w:t xml:space="preserve"/>
      </w:r>
    </w:p>
    <w:p>
      <w:pPr>
        <w:pStyle w:val="Heading2"/>
        <w:spacing w:before="280" w:after="100"/>
      </w:pPr>
      <w:r>
        <w:rPr>
          <w:rFonts w:ascii="Arial" w:cs="Arial" w:eastAsia="Arial" w:hAnsi="Arial"/>
          <w:b/>
          <w:bCs/>
          <w:color w:val="2E5597"/>
          <w:sz w:val="26"/>
          <w:szCs w:val="26"/>
        </w:rPr>
        <w:t xml:space="preserve">3.2  Seasonal CPI Dynamics: Evidence from Ukraine</w:t>
      </w:r>
    </w:p>
    <w:p>
      <w:pPr>
        <w:spacing w:after="120" w:line="276"/>
        <w:jc w:val="both"/>
      </w:pPr>
      <w:r>
        <w:rPr>
          <w:rFonts w:ascii="Arial" w:cs="Arial" w:eastAsia="Arial" w:hAnsi="Arial"/>
          <w:sz w:val="22"/>
          <w:szCs w:val="22"/>
        </w:rPr>
        <w:t xml:space="preserve">Shinkarenko et al. (2021) examine monthly Ukrainian CPI from January 2010 to September 2020, explicitly testing for and modelling annual seasonality in the inflation series. Their study is relevant as methodological precedent for the seasonality investigation conducted in Phase 4 of this project.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Shinkarenko et al. (2021)</w:t>
            </w:r>
          </w:p>
        </w:tc>
        <w:tc>
          <w:tcPr>
            <w:tcW w:type="dxa" w:w="7626"/>
            <w:tcBorders>
              <w:top w:val="single" w:color="AAAAAA" w:sz="1"/>
              <w:left w:val="single" w:color="AAAAAA" w:sz="1"/>
              <w:bottom w:val="single" w:color="AAAAAA" w:sz="1"/>
              <w:right w:val="single" w:color="AAAAAA" w:sz="1"/>
            </w:tcBorders>
            <w:tcMar>
              <w:top w:type="dxa" w:w="80"/>
              <w:left w:type="dxa" w:w="160"/>
              <w:bottom w:type="dxa" w:w="80"/>
              <w:right w:type="dxa" w:w="120"/>
            </w:tcMar>
          </w:tcPr>
          <w:p>
            <w:pPr>
              <w:spacing w:after="60" w:line="252"/>
            </w:pPr>
            <w:r>
              <w:rPr>
                <w:rFonts w:ascii="Arial" w:cs="Arial" w:eastAsia="Arial" w:hAnsi="Arial"/>
                <w:sz w:val="20"/>
                <w:szCs w:val="20"/>
              </w:rPr>
              <w:t xml:space="preserve">Full citation: Shinkarenko, V., Hostryk, A., Shynkarenko, L. and Dolinskyi, L. (2021). A Forecasting the</w:t>
            </w:r>
          </w:p>
          <w:p>
            <w:pPr>
              <w:spacing w:after="60" w:line="252"/>
            </w:pPr>
            <w:r>
              <w:rPr>
                <w:rFonts w:ascii="Arial" w:cs="Arial" w:eastAsia="Arial" w:hAnsi="Arial"/>
                <w:sz w:val="20"/>
                <w:szCs w:val="20"/>
              </w:rPr>
              <w:t xml:space="preserve">Consumer Price Index Using Time Series Model. SHS Web of Conferences, 107, 10002.</w:t>
            </w:r>
          </w:p>
          <w:p>
            <w:pPr>
              <w:spacing w:after="60" w:line="252"/>
            </w:pPr>
            <w:r>
              <w:rPr>
                <w:rFonts w:ascii="Arial" w:cs="Arial" w:eastAsia="Arial" w:hAnsi="Arial"/>
                <w:sz w:val="20"/>
                <w:szCs w:val="20"/>
              </w:rPr>
              <w:t xml:space="preserve">DOI: 10.1051/shsconf/202110710002. M3E2 2021.</w:t>
            </w:r>
          </w:p>
          <w:p>
            <w:pPr>
              <w:spacing w:after="60" w:line="252"/>
            </w:pPr>
            <w:r>
              <w:rPr>
                <w:rFonts w:ascii="Arial" w:cs="Arial" w:eastAsia="Arial" w:hAnsi="Arial"/>
                <w:sz w:val="20"/>
                <w:szCs w:val="20"/>
              </w:rPr>
              <w:t xml:space="preserve"/>
            </w:r>
          </w:p>
          <w:p>
            <w:pPr>
              <w:spacing w:after="60" w:line="252"/>
            </w:pPr>
            <w:r>
              <w:rPr>
                <w:rFonts w:ascii="Arial" w:cs="Arial" w:eastAsia="Arial" w:hAnsi="Arial"/>
                <w:sz w:val="20"/>
                <w:szCs w:val="20"/>
              </w:rPr>
              <w:t xml:space="preserve">Data: Monthly CPI, Ukraine, January 2010 – September 2020 (129 observations).</w:t>
            </w:r>
          </w:p>
          <w:p>
            <w:pPr>
              <w:spacing w:after="60" w:line="252"/>
            </w:pPr>
            <w:r>
              <w:rPr>
                <w:rFonts w:ascii="Arial" w:cs="Arial" w:eastAsia="Arial" w:hAnsi="Arial"/>
                <w:sz w:val="20"/>
                <w:szCs w:val="20"/>
              </w:rPr>
              <w:t xml:space="preserve"/>
            </w:r>
          </w:p>
          <w:p>
            <w:pPr>
              <w:spacing w:after="60" w:line="252"/>
            </w:pPr>
            <w:r>
              <w:rPr>
                <w:rFonts w:ascii="Arial" w:cs="Arial" w:eastAsia="Arial" w:hAnsi="Arial"/>
                <w:sz w:val="20"/>
                <w:szCs w:val="20"/>
              </w:rPr>
              <w:t xml:space="preserve">Models: Additive ARIMA×ARIMAS (Box-Jenkins seasonal ARIMA) and Holt-Winters exponential smoothing.</w:t>
            </w:r>
          </w:p>
          <w:p>
            <w:pPr>
              <w:spacing w:after="60" w:line="252"/>
            </w:pPr>
            <w:r>
              <w:rPr>
                <w:rFonts w:ascii="Arial" w:cs="Arial" w:eastAsia="Arial" w:hAnsi="Arial"/>
                <w:sz w:val="20"/>
                <w:szCs w:val="20"/>
              </w:rPr>
              <w:t xml:space="preserve"/>
            </w:r>
          </w:p>
          <w:p>
            <w:pPr>
              <w:spacing w:after="60" w:line="252"/>
            </w:pPr>
            <w:r>
              <w:rPr>
                <w:rFonts w:ascii="Arial" w:cs="Arial" w:eastAsia="Arial" w:hAnsi="Arial"/>
                <w:sz w:val="20"/>
                <w:szCs w:val="20"/>
              </w:rPr>
              <w:t xml:space="preserve">Key findings:</w:t>
            </w:r>
          </w:p>
          <w:p>
            <w:pPr>
              <w:spacing w:after="60" w:line="252"/>
            </w:pPr>
            <w:r>
              <w:rPr>
                <w:rFonts w:ascii="Arial" w:cs="Arial" w:eastAsia="Arial" w:hAnsi="Arial"/>
                <w:sz w:val="20"/>
                <w:szCs w:val="20"/>
              </w:rPr>
              <w:t xml:space="preserve">  • ACF analysis reveals clear annual seasonality in Ukrainian CPI (spikes at lags 12 and 24).</w:t>
            </w:r>
          </w:p>
          <w:p>
            <w:pPr>
              <w:spacing w:after="60" w:line="252"/>
            </w:pPr>
            <w:r>
              <w:rPr>
                <w:rFonts w:ascii="Arial" w:cs="Arial" w:eastAsia="Arial" w:hAnsi="Arial"/>
                <w:sz w:val="20"/>
                <w:szCs w:val="20"/>
              </w:rPr>
              <w:t xml:space="preserve">  • The ARIMAS (seasonal ARIMA) model fits the in-sample data better than the non-seasonal ARIMA.</w:t>
            </w:r>
          </w:p>
          <w:p>
            <w:pPr>
              <w:spacing w:after="60" w:line="252"/>
            </w:pPr>
            <w:r>
              <w:rPr>
                <w:rFonts w:ascii="Arial" w:cs="Arial" w:eastAsia="Arial" w:hAnsi="Arial"/>
                <w:sz w:val="20"/>
                <w:szCs w:val="20"/>
              </w:rPr>
              <w:t xml:space="preserve">  • For out-of-sample forecasting, the Holt-Winters model achieves the minimum error, outperforming</w:t>
            </w:r>
          </w:p>
          <w:p>
            <w:pPr>
              <w:spacing w:after="60" w:line="252"/>
            </w:pPr>
            <w:r>
              <w:rPr>
                <w:rFonts w:ascii="Arial" w:cs="Arial" w:eastAsia="Arial" w:hAnsi="Arial"/>
                <w:sz w:val="20"/>
                <w:szCs w:val="20"/>
              </w:rPr>
              <w:t xml:space="preserve">    the seasonal ARIMA on MAPE.</w:t>
            </w:r>
          </w:p>
          <w:p>
            <w:pPr>
              <w:spacing w:after="60" w:line="252"/>
            </w:pPr>
            <w:r>
              <w:rPr>
                <w:rFonts w:ascii="Arial" w:cs="Arial" w:eastAsia="Arial" w:hAnsi="Arial"/>
                <w:sz w:val="20"/>
                <w:szCs w:val="20"/>
              </w:rPr>
              <w:t xml:space="preserve"/>
            </w:r>
          </w:p>
          <w:p>
            <w:pPr>
              <w:spacing w:after="60" w:line="252"/>
            </w:pPr>
            <w:r>
              <w:rPr>
                <w:rFonts w:ascii="Arial" w:cs="Arial" w:eastAsia="Arial" w:hAnsi="Arial"/>
                <w:sz w:val="20"/>
                <w:szCs w:val="20"/>
              </w:rPr>
              <w:t xml:space="preserve">Relevance: The ACF-based seasonality detection methodology — plotting autocorrelations to lags 48</w:t>
            </w:r>
          </w:p>
          <w:p>
            <w:pPr>
              <w:spacing w:after="60" w:line="252"/>
            </w:pPr>
            <w:r>
              <w:rPr>
                <w:rFonts w:ascii="Arial" w:cs="Arial" w:eastAsia="Arial" w:hAnsi="Arial"/>
                <w:sz w:val="20"/>
                <w:szCs w:val="20"/>
              </w:rPr>
              <w:t xml:space="preserve">and inspecting for spikes at multiples of 12 — is the same approach applied in this study’s</w:t>
            </w:r>
          </w:p>
          <w:p>
            <w:pPr>
              <w:spacing w:after="60" w:line="252"/>
            </w:pPr>
            <w:r>
              <w:rPr>
                <w:rFonts w:ascii="Arial" w:cs="Arial" w:eastAsia="Arial" w:hAnsi="Arial"/>
                <w:sz w:val="20"/>
                <w:szCs w:val="20"/>
              </w:rPr>
              <w:t xml:space="preserve">seasonality analysis. Their finding that seasonal patterns are weak or absent in financial yield series</w:t>
            </w:r>
          </w:p>
          <w:p>
            <w:pPr>
              <w:spacing w:after="60" w:line="252"/>
            </w:pPr>
            <w:r>
              <w:rPr>
                <w:rFonts w:ascii="Arial" w:cs="Arial" w:eastAsia="Arial" w:hAnsi="Arial"/>
                <w:sz w:val="20"/>
                <w:szCs w:val="20"/>
              </w:rPr>
              <w:t xml:space="preserve">(unlike consumer price indices, which are calendar-driven) supports the expectation that SARIMAX</w:t>
            </w:r>
          </w:p>
          <w:p>
            <w:pPr>
              <w:spacing w:after="60" w:line="252"/>
            </w:pPr>
            <w:r>
              <w:rPr>
                <w:rFonts w:ascii="Arial" w:cs="Arial" w:eastAsia="Arial" w:hAnsi="Arial"/>
                <w:sz w:val="20"/>
                <w:szCs w:val="20"/>
              </w:rPr>
              <w:t xml:space="preserve">may add limited value over ARIMAX for sovereign bond yield forecasting.</w:t>
            </w:r>
          </w:p>
        </w:tc>
      </w:tr>
    </w:tbl>
    <w:p>
      <w:pPr>
        <w:spacing w:after="120"/>
      </w:pPr>
      <w:r>
        <w:t xml:space="preserve"/>
      </w:r>
    </w:p>
    <w:p>
      <w:pPr>
        <w:pStyle w:val="Heading2"/>
        <w:spacing w:before="280" w:after="100"/>
      </w:pPr>
      <w:r>
        <w:rPr>
          <w:rFonts w:ascii="Arial" w:cs="Arial" w:eastAsia="Arial" w:hAnsi="Arial"/>
          <w:b/>
          <w:bCs/>
          <w:color w:val="2E5597"/>
          <w:sz w:val="26"/>
          <w:szCs w:val="26"/>
        </w:rPr>
        <w:t xml:space="preserve">3.3  SARIMAX for Inflation with Multiple Exogenous Variables: Nigeria</w:t>
      </w:r>
    </w:p>
    <w:p>
      <w:pPr>
        <w:spacing w:after="120" w:line="276"/>
        <w:jc w:val="both"/>
      </w:pPr>
      <w:r>
        <w:rPr>
          <w:rFonts w:ascii="Arial" w:cs="Arial" w:eastAsia="Arial" w:hAnsi="Arial"/>
          <w:sz w:val="22"/>
          <w:szCs w:val="22"/>
        </w:rPr>
        <w:t xml:space="preserve">Are, Aako and Ojo (2023) fit ARIMA, SARIMA, and SARIMAX models to monthly Nigerian inflation data with four exogenous regressors, providing a direct methodological template for the SARIMAX estimation undertaken in this study.</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Are, Aako &amp; Ojo (2023)</w:t>
            </w:r>
          </w:p>
        </w:tc>
        <w:tc>
          <w:tcPr>
            <w:tcW w:type="dxa" w:w="7626"/>
            <w:tcBorders>
              <w:top w:val="single" w:color="AAAAAA" w:sz="1"/>
              <w:left w:val="single" w:color="AAAAAA" w:sz="1"/>
              <w:bottom w:val="single" w:color="AAAAAA" w:sz="1"/>
              <w:right w:val="single" w:color="AAAAAA" w:sz="1"/>
            </w:tcBorders>
            <w:tcMar>
              <w:top w:type="dxa" w:w="80"/>
              <w:left w:type="dxa" w:w="160"/>
              <w:bottom w:type="dxa" w:w="80"/>
              <w:right w:type="dxa" w:w="120"/>
            </w:tcMar>
          </w:tcPr>
          <w:p>
            <w:pPr>
              <w:spacing w:after="60" w:line="252"/>
            </w:pPr>
            <w:r>
              <w:rPr>
                <w:rFonts w:ascii="Arial" w:cs="Arial" w:eastAsia="Arial" w:hAnsi="Arial"/>
                <w:sz w:val="20"/>
                <w:szCs w:val="20"/>
              </w:rPr>
              <w:t xml:space="preserve">Full citation: Are, S.O., Aako, O.L. and Ojo, G.O. (2023). A Parametric Evaluation of Nigeria Inflation</w:t>
            </w:r>
          </w:p>
          <w:p>
            <w:pPr>
              <w:spacing w:after="60" w:line="252"/>
            </w:pPr>
            <w:r>
              <w:rPr>
                <w:rFonts w:ascii="Arial" w:cs="Arial" w:eastAsia="Arial" w:hAnsi="Arial"/>
                <w:sz w:val="20"/>
                <w:szCs w:val="20"/>
              </w:rPr>
              <w:t xml:space="preserve">Rates using SARIMAX Multiple Time Series Model. Ilaro Journal of Humanities and Management</w:t>
            </w:r>
          </w:p>
          <w:p>
            <w:pPr>
              <w:spacing w:after="60" w:line="252"/>
            </w:pPr>
            <w:r>
              <w:rPr>
                <w:rFonts w:ascii="Arial" w:cs="Arial" w:eastAsia="Arial" w:hAnsi="Arial"/>
                <w:sz w:val="20"/>
                <w:szCs w:val="20"/>
              </w:rPr>
              <w:t xml:space="preserve">(IJOHAM), Volume 2, 2023 Edition. ISSN: 2682-6577.</w:t>
            </w:r>
          </w:p>
          <w:p>
            <w:pPr>
              <w:spacing w:after="60" w:line="252"/>
            </w:pPr>
            <w:r>
              <w:rPr>
                <w:rFonts w:ascii="Arial" w:cs="Arial" w:eastAsia="Arial" w:hAnsi="Arial"/>
                <w:sz w:val="20"/>
                <w:szCs w:val="20"/>
              </w:rPr>
              <w:t xml:space="preserve"/>
            </w:r>
          </w:p>
          <w:p>
            <w:pPr>
              <w:spacing w:after="60" w:line="252"/>
            </w:pPr>
            <w:r>
              <w:rPr>
                <w:rFonts w:ascii="Arial" w:cs="Arial" w:eastAsia="Arial" w:hAnsi="Arial"/>
                <w:sz w:val="20"/>
                <w:szCs w:val="20"/>
              </w:rPr>
              <w:t xml:space="preserve">Data: Monthly Nigerian inflation rate plus four exogenous series — All-Share Index (ASI),</w:t>
            </w:r>
          </w:p>
          <w:p>
            <w:pPr>
              <w:spacing w:after="60" w:line="252"/>
            </w:pPr>
            <w:r>
              <w:rPr>
                <w:rFonts w:ascii="Arial" w:cs="Arial" w:eastAsia="Arial" w:hAnsi="Arial"/>
                <w:sz w:val="20"/>
                <w:szCs w:val="20"/>
              </w:rPr>
              <w:t xml:space="preserve">money supply (M2), interest rate, and exchange rate — January 2005 to December 2020 (RStudio).</w:t>
            </w:r>
          </w:p>
          <w:p>
            <w:pPr>
              <w:spacing w:after="60" w:line="252"/>
            </w:pPr>
            <w:r>
              <w:rPr>
                <w:rFonts w:ascii="Arial" w:cs="Arial" w:eastAsia="Arial" w:hAnsi="Arial"/>
                <w:sz w:val="20"/>
                <w:szCs w:val="20"/>
              </w:rPr>
              <w:t xml:space="preserve"/>
            </w:r>
          </w:p>
          <w:p>
            <w:pPr>
              <w:spacing w:after="60" w:line="252"/>
            </w:pPr>
            <w:r>
              <w:rPr>
                <w:rFonts w:ascii="Arial" w:cs="Arial" w:eastAsia="Arial" w:hAnsi="Arial"/>
                <w:sz w:val="20"/>
                <w:szCs w:val="20"/>
              </w:rPr>
              <w:t xml:space="preserve">Model selection criterion: Lowest AIC and RMSE.</w:t>
            </w:r>
          </w:p>
          <w:p>
            <w:pPr>
              <w:spacing w:after="60" w:line="252"/>
            </w:pPr>
            <w:r>
              <w:rPr>
                <w:rFonts w:ascii="Arial" w:cs="Arial" w:eastAsia="Arial" w:hAnsi="Arial"/>
                <w:sz w:val="20"/>
                <w:szCs w:val="20"/>
              </w:rPr>
              <w:t xml:space="preserve"/>
            </w:r>
          </w:p>
          <w:p>
            <w:pPr>
              <w:spacing w:after="60" w:line="252"/>
            </w:pPr>
            <w:r>
              <w:rPr>
                <w:rFonts w:ascii="Arial" w:cs="Arial" w:eastAsia="Arial" w:hAnsi="Arial"/>
                <w:sz w:val="20"/>
                <w:szCs w:val="20"/>
              </w:rPr>
              <w:t xml:space="preserve">Key findings:</w:t>
            </w:r>
          </w:p>
          <w:p>
            <w:pPr>
              <w:spacing w:after="60" w:line="252"/>
            </w:pPr>
            <w:r>
              <w:rPr>
                <w:rFonts w:ascii="Arial" w:cs="Arial" w:eastAsia="Arial" w:hAnsi="Arial"/>
                <w:sz w:val="20"/>
                <w:szCs w:val="20"/>
              </w:rPr>
              <w:t xml:space="preserve">  • SARIMAX outperforms both ARIMA and SARIMA on AIC and RMSE for all candidate models.</w:t>
            </w:r>
          </w:p>
          <w:p>
            <w:pPr>
              <w:spacing w:after="60" w:line="252"/>
            </w:pPr>
            <w:r>
              <w:rPr>
                <w:rFonts w:ascii="Arial" w:cs="Arial" w:eastAsia="Arial" w:hAnsi="Arial"/>
                <w:sz w:val="20"/>
                <w:szCs w:val="20"/>
              </w:rPr>
              <w:t xml:space="preserve">  • Of the four exogenous variables, only the interest rate is statistically significant (p &lt; 0.05).</w:t>
            </w:r>
          </w:p>
          <w:p>
            <w:pPr>
              <w:spacing w:after="60" w:line="252"/>
            </w:pPr>
            <w:r>
              <w:rPr>
                <w:rFonts w:ascii="Arial" w:cs="Arial" w:eastAsia="Arial" w:hAnsi="Arial"/>
                <w:sz w:val="20"/>
                <w:szCs w:val="20"/>
              </w:rPr>
              <w:t xml:space="preserve">  • Exchange rate, money supply, and stock index are included but statistically insignificant,</w:t>
            </w:r>
          </w:p>
          <w:p>
            <w:pPr>
              <w:spacing w:after="60" w:line="252"/>
            </w:pPr>
            <w:r>
              <w:rPr>
                <w:rFonts w:ascii="Arial" w:cs="Arial" w:eastAsia="Arial" w:hAnsi="Arial"/>
                <w:sz w:val="20"/>
                <w:szCs w:val="20"/>
              </w:rPr>
              <w:t xml:space="preserve">    suggesting parsimony checks (e.g. stepwise variable elimination) are warranted.</w:t>
            </w:r>
          </w:p>
          <w:p>
            <w:pPr>
              <w:spacing w:after="60" w:line="252"/>
            </w:pPr>
            <w:r>
              <w:rPr>
                <w:rFonts w:ascii="Arial" w:cs="Arial" w:eastAsia="Arial" w:hAnsi="Arial"/>
                <w:sz w:val="20"/>
                <w:szCs w:val="20"/>
              </w:rPr>
              <w:t xml:space="preserve">  • The seasonal component of SARIMAX captures quarterly inflation patterns in Nigeria.</w:t>
            </w:r>
          </w:p>
          <w:p>
            <w:pPr>
              <w:spacing w:after="60" w:line="252"/>
            </w:pPr>
            <w:r>
              <w:rPr>
                <w:rFonts w:ascii="Arial" w:cs="Arial" w:eastAsia="Arial" w:hAnsi="Arial"/>
                <w:sz w:val="20"/>
                <w:szCs w:val="20"/>
              </w:rPr>
              <w:t xml:space="preserve"/>
            </w:r>
          </w:p>
          <w:p>
            <w:pPr>
              <w:spacing w:after="60" w:line="252"/>
            </w:pPr>
            <w:r>
              <w:rPr>
                <w:rFonts w:ascii="Arial" w:cs="Arial" w:eastAsia="Arial" w:hAnsi="Arial"/>
                <w:sz w:val="20"/>
                <w:szCs w:val="20"/>
              </w:rPr>
              <w:t xml:space="preserve">Relevance: Two-way relevance. First, it validates the SARIMAX modelling framework applied here.</w:t>
            </w:r>
          </w:p>
          <w:p>
            <w:pPr>
              <w:spacing w:after="60" w:line="252"/>
            </w:pPr>
            <w:r>
              <w:rPr>
                <w:rFonts w:ascii="Arial" w:cs="Arial" w:eastAsia="Arial" w:hAnsi="Arial"/>
                <w:sz w:val="20"/>
                <w:szCs w:val="20"/>
              </w:rPr>
              <w:t xml:space="preserve">Second, the finding that only one of four exogenous variables is significant echoes the Huei &amp;</w:t>
            </w:r>
          </w:p>
          <w:p>
            <w:pPr>
              <w:spacing w:after="60" w:line="252"/>
            </w:pPr>
            <w:r>
              <w:rPr>
                <w:rFonts w:ascii="Arial" w:cs="Arial" w:eastAsia="Arial" w:hAnsi="Arial"/>
                <w:sz w:val="20"/>
                <w:szCs w:val="20"/>
              </w:rPr>
              <w:t xml:space="preserve">Kamisan (2025) result: adding more regressors does not guarantee significance or forecast improvement.</w:t>
            </w:r>
          </w:p>
          <w:p>
            <w:pPr>
              <w:spacing w:after="60" w:line="252"/>
            </w:pPr>
            <w:r>
              <w:rPr>
                <w:rFonts w:ascii="Arial" w:cs="Arial" w:eastAsia="Arial" w:hAnsi="Arial"/>
                <w:sz w:val="20"/>
                <w:szCs w:val="20"/>
              </w:rPr>
              <w:t xml:space="preserve">This study should conduct t-tests on all exogenous coefficients and report which are significant.</w:t>
            </w:r>
          </w:p>
        </w:tc>
      </w:tr>
    </w:tbl>
    <w:p>
      <w:pPr>
        <w:spacing w:after="240"/>
      </w:pPr>
      <w:r>
        <w:t xml:space="preserve"/>
      </w:r>
    </w:p>
    <w:p>
      <w:pPr>
        <w:pStyle w:val="Heading1"/>
        <w:pBdr>
          <w:bottom w:val="single" w:color="1F3864" w:sz="4" w:space="4"/>
        </w:pBdr>
        <w:spacing w:before="360" w:after="160"/>
      </w:pPr>
      <w:r>
        <w:rPr>
          <w:rFonts w:ascii="Arial" w:cs="Arial" w:eastAsia="Arial" w:hAnsi="Arial"/>
          <w:b/>
          <w:bCs/>
          <w:color w:val="1F3864"/>
          <w:sz w:val="32"/>
          <w:szCs w:val="32"/>
        </w:rPr>
        <w:t xml:space="preserve">4.  Applied ARIMA-Family Forecasting of Bond Yields</w:t>
      </w:r>
    </w:p>
    <w:p>
      <w:pPr>
        <w:pStyle w:val="Heading2"/>
        <w:spacing w:before="280" w:after="100"/>
      </w:pPr>
      <w:r>
        <w:rPr>
          <w:rFonts w:ascii="Arial" w:cs="Arial" w:eastAsia="Arial" w:hAnsi="Arial"/>
          <w:b/>
          <w:bCs/>
          <w:color w:val="2E5597"/>
          <w:sz w:val="26"/>
          <w:szCs w:val="26"/>
        </w:rPr>
        <w:t xml:space="preserve">4.1  ARIMA for U.S. and Singapore 10-Year Yields</w:t>
      </w:r>
    </w:p>
    <w:p>
      <w:pPr>
        <w:spacing w:after="120" w:line="276"/>
        <w:jc w:val="both"/>
      </w:pPr>
      <w:r>
        <w:rPr>
          <w:rFonts w:ascii="Arial" w:cs="Arial" w:eastAsia="Arial" w:hAnsi="Arial"/>
          <w:sz w:val="22"/>
          <w:szCs w:val="22"/>
        </w:rPr>
        <w:t xml:space="preserve">The study most directly comparable to this project in terms of target variable is Zhou (2025), who applies ARIMA to 10-year government bond yields for the United States and Singapore from 2019 to the present. This is the only paper in the reviewed set that uses sovereign bond yields — rather than inflation or CPI — as the dependent variable.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Zhou (2025)</w:t>
            </w:r>
          </w:p>
        </w:tc>
        <w:tc>
          <w:tcPr>
            <w:tcW w:type="dxa" w:w="7626"/>
            <w:tcBorders>
              <w:top w:val="single" w:color="AAAAAA" w:sz="1"/>
              <w:left w:val="single" w:color="AAAAAA" w:sz="1"/>
              <w:bottom w:val="single" w:color="AAAAAA" w:sz="1"/>
              <w:right w:val="single" w:color="AAAAAA" w:sz="1"/>
            </w:tcBorders>
            <w:tcMar>
              <w:top w:type="dxa" w:w="80"/>
              <w:left w:type="dxa" w:w="160"/>
              <w:bottom w:type="dxa" w:w="80"/>
              <w:right w:type="dxa" w:w="120"/>
            </w:tcMar>
          </w:tcPr>
          <w:p>
            <w:pPr>
              <w:spacing w:after="60" w:line="252"/>
            </w:pPr>
            <w:r>
              <w:rPr>
                <w:rFonts w:ascii="Arial" w:cs="Arial" w:eastAsia="Arial" w:hAnsi="Arial"/>
                <w:sz w:val="20"/>
                <w:szCs w:val="20"/>
              </w:rPr>
              <w:t xml:space="preserve">Full citation: Zhou, Z. (2025). ARIMA-Based Forecasting of US and Singapore Bond Yields (2019–Present).</w:t>
            </w:r>
          </w:p>
          <w:p>
            <w:pPr>
              <w:spacing w:after="60" w:line="252"/>
            </w:pPr>
            <w:r>
              <w:rPr>
                <w:rFonts w:ascii="Arial" w:cs="Arial" w:eastAsia="Arial" w:hAnsi="Arial"/>
                <w:sz w:val="20"/>
                <w:szCs w:val="20"/>
              </w:rPr>
              <w:t xml:space="preserve">Proceedings of ICFTBA 2025 Symposium: Data-Driven Decision Making in Business and Economics.</w:t>
            </w:r>
          </w:p>
          <w:p>
            <w:pPr>
              <w:spacing w:after="60" w:line="252"/>
            </w:pPr>
            <w:r>
              <w:rPr>
                <w:rFonts w:ascii="Arial" w:cs="Arial" w:eastAsia="Arial" w:hAnsi="Arial"/>
                <w:sz w:val="20"/>
                <w:szCs w:val="20"/>
              </w:rPr>
              <w:t xml:space="preserve">DOI: 10.54254/2754-1169/2025.BL29328.</w:t>
            </w:r>
          </w:p>
          <w:p>
            <w:pPr>
              <w:spacing w:after="60" w:line="252"/>
            </w:pPr>
            <w:r>
              <w:rPr>
                <w:rFonts w:ascii="Arial" w:cs="Arial" w:eastAsia="Arial" w:hAnsi="Arial"/>
                <w:sz w:val="20"/>
                <w:szCs w:val="20"/>
              </w:rPr>
              <w:t xml:space="preserve"/>
            </w:r>
          </w:p>
          <w:p>
            <w:pPr>
              <w:spacing w:after="60" w:line="252"/>
            </w:pPr>
            <w:r>
              <w:rPr>
                <w:rFonts w:ascii="Arial" w:cs="Arial" w:eastAsia="Arial" w:hAnsi="Arial"/>
                <w:sz w:val="20"/>
                <w:szCs w:val="20"/>
              </w:rPr>
              <w:t xml:space="preserve">Data: Monthly U.S. Treasury 10-year yield and Singapore MAS 10-year government bond yield, 2019–present.</w:t>
            </w:r>
          </w:p>
          <w:p>
            <w:pPr>
              <w:spacing w:after="60" w:line="252"/>
            </w:pPr>
            <w:r>
              <w:rPr>
                <w:rFonts w:ascii="Arial" w:cs="Arial" w:eastAsia="Arial" w:hAnsi="Arial"/>
                <w:sz w:val="20"/>
                <w:szCs w:val="20"/>
              </w:rPr>
              <w:t xml:space="preserve">Preprocessing: ADF unit root test, ACF/PACF plots, AIC-based order selection.</w:t>
            </w:r>
          </w:p>
          <w:p>
            <w:pPr>
              <w:spacing w:after="60" w:line="252"/>
            </w:pPr>
            <w:r>
              <w:rPr>
                <w:rFonts w:ascii="Arial" w:cs="Arial" w:eastAsia="Arial" w:hAnsi="Arial"/>
                <w:sz w:val="20"/>
                <w:szCs w:val="20"/>
              </w:rPr>
              <w:t xml:space="preserve"/>
            </w:r>
          </w:p>
          <w:p>
            <w:pPr>
              <w:spacing w:after="60" w:line="252"/>
            </w:pPr>
            <w:r>
              <w:rPr>
                <w:rFonts w:ascii="Arial" w:cs="Arial" w:eastAsia="Arial" w:hAnsi="Arial"/>
                <w:sz w:val="20"/>
                <w:szCs w:val="20"/>
              </w:rPr>
              <w:t xml:space="preserve">Key findings:</w:t>
            </w:r>
          </w:p>
          <w:p>
            <w:pPr>
              <w:spacing w:after="60" w:line="252"/>
            </w:pPr>
            <w:r>
              <w:rPr>
                <w:rFonts w:ascii="Arial" w:cs="Arial" w:eastAsia="Arial" w:hAnsi="Arial"/>
                <w:sz w:val="20"/>
                <w:szCs w:val="20"/>
              </w:rPr>
              <w:t xml:space="preserve">  • U.S. yield: Best model ARIMA(1,1,1). MAPE = 1.2%. Forecast range for 2025: 4.0–4.5%.</w:t>
            </w:r>
          </w:p>
          <w:p>
            <w:pPr>
              <w:spacing w:after="60" w:line="252"/>
            </w:pPr>
            <w:r>
              <w:rPr>
                <w:rFonts w:ascii="Arial" w:cs="Arial" w:eastAsia="Arial" w:hAnsi="Arial"/>
                <w:sz w:val="20"/>
                <w:szCs w:val="20"/>
              </w:rPr>
              <w:t xml:space="preserve">    U.S. yields driven primarily by Fed monetary tightening cycle and inflation dynamics.</w:t>
            </w:r>
          </w:p>
          <w:p>
            <w:pPr>
              <w:spacing w:after="60" w:line="252"/>
            </w:pPr>
            <w:r>
              <w:rPr>
                <w:rFonts w:ascii="Arial" w:cs="Arial" w:eastAsia="Arial" w:hAnsi="Arial"/>
                <w:sz w:val="20"/>
                <w:szCs w:val="20"/>
              </w:rPr>
              <w:t xml:space="preserve">  • Singapore yield: Best model ARIMA(3,1,3). MAPE = 1.5%. Forecast: 2.0–2.5%.</w:t>
            </w:r>
          </w:p>
          <w:p>
            <w:pPr>
              <w:spacing w:after="60" w:line="252"/>
            </w:pPr>
            <w:r>
              <w:rPr>
                <w:rFonts w:ascii="Arial" w:cs="Arial" w:eastAsia="Arial" w:hAnsi="Arial"/>
                <w:sz w:val="20"/>
                <w:szCs w:val="20"/>
              </w:rPr>
              <w:t xml:space="preserve">    Singapore yields more stable due to MAS exchange-rate-based monetary framework.</w:t>
            </w:r>
          </w:p>
          <w:p>
            <w:pPr>
              <w:spacing w:after="60" w:line="252"/>
            </w:pPr>
            <w:r>
              <w:rPr>
                <w:rFonts w:ascii="Arial" w:cs="Arial" w:eastAsia="Arial" w:hAnsi="Arial"/>
                <w:sz w:val="20"/>
                <w:szCs w:val="20"/>
              </w:rPr>
              <w:t xml:space="preserve">  • ADF test confirms I(1) for both yield series — consistent with standard findings in literature.</w:t>
            </w:r>
          </w:p>
          <w:p>
            <w:pPr>
              <w:spacing w:after="60" w:line="252"/>
            </w:pPr>
            <w:r>
              <w:rPr>
                <w:rFonts w:ascii="Arial" w:cs="Arial" w:eastAsia="Arial" w:hAnsi="Arial"/>
                <w:sz w:val="20"/>
                <w:szCs w:val="20"/>
              </w:rPr>
              <w:t xml:space="preserve">  • Both ARIMA(1,1,1) specifications identified as adequate by ACF/PACF residual diagnostics.</w:t>
            </w:r>
          </w:p>
          <w:p>
            <w:pPr>
              <w:spacing w:after="60" w:line="252"/>
            </w:pPr>
            <w:r>
              <w:rPr>
                <w:rFonts w:ascii="Arial" w:cs="Arial" w:eastAsia="Arial" w:hAnsi="Arial"/>
                <w:sz w:val="20"/>
                <w:szCs w:val="20"/>
              </w:rPr>
              <w:t xml:space="preserve"/>
            </w:r>
          </w:p>
          <w:p>
            <w:pPr>
              <w:spacing w:after="60" w:line="252"/>
            </w:pPr>
            <w:r>
              <w:rPr>
                <w:rFonts w:ascii="Arial" w:cs="Arial" w:eastAsia="Arial" w:hAnsi="Arial"/>
                <w:sz w:val="20"/>
                <w:szCs w:val="20"/>
              </w:rPr>
              <w:t xml:space="preserve">Limitation: Purely univariate — no exogenous variables. This is the key gap this study addresses</w:t>
            </w:r>
          </w:p>
          <w:p>
            <w:pPr>
              <w:spacing w:after="60" w:line="252"/>
            </w:pPr>
            <w:r>
              <w:rPr>
                <w:rFonts w:ascii="Arial" w:cs="Arial" w:eastAsia="Arial" w:hAnsi="Arial"/>
                <w:sz w:val="20"/>
                <w:szCs w:val="20"/>
              </w:rPr>
              <w:t xml:space="preserve">by incorporating CPI, policy rates, VIX, and global yield factors via ARIMAX/SARIMAX.</w:t>
            </w:r>
          </w:p>
          <w:p>
            <w:pPr>
              <w:spacing w:after="60" w:line="252"/>
            </w:pPr>
            <w:r>
              <w:rPr>
                <w:rFonts w:ascii="Arial" w:cs="Arial" w:eastAsia="Arial" w:hAnsi="Arial"/>
                <w:sz w:val="20"/>
                <w:szCs w:val="20"/>
              </w:rPr>
              <w:t xml:space="preserve">It also covers only the post-2019 period, omitting the low-rate environment pre-COVID.</w:t>
            </w:r>
          </w:p>
        </w:tc>
      </w:tr>
    </w:tbl>
    <w:p>
      <w:pPr>
        <w:spacing w:after="120"/>
      </w:pPr>
      <w:r>
        <w:t xml:space="preserve"/>
      </w:r>
    </w:p>
    <w:p>
      <w:pPr>
        <w:spacing w:after="120" w:line="276"/>
        <w:jc w:val="both"/>
      </w:pPr>
      <w:r>
        <w:rPr>
          <w:rFonts w:ascii="Arial" w:cs="Arial" w:eastAsia="Arial" w:hAnsi="Arial"/>
          <w:sz w:val="22"/>
          <w:szCs w:val="22"/>
        </w:rPr>
        <w:t xml:space="preserve">The confirmation that ARIMA(1,1,1) characterises the U.S. 10-year yield well is consistent with a large body of earlier work. The key contribution of this study relative to Zhou (2025) is the addition of an exogenous macro-financial block that explicitly tests whether CPI and other fundamentals improve over the univariate benchmark.</w:t>
      </w:r>
    </w:p>
    <w:p>
      <w:pPr>
        <w:spacing w:after="240"/>
      </w:pPr>
      <w:r>
        <w:t xml:space="preserve"/>
      </w:r>
    </w:p>
    <w:p>
      <w:pPr>
        <w:pStyle w:val="Heading1"/>
        <w:pBdr>
          <w:bottom w:val="single" w:color="1F3864" w:sz="4" w:space="4"/>
        </w:pBdr>
        <w:spacing w:before="360" w:after="160"/>
      </w:pPr>
      <w:r>
        <w:rPr>
          <w:rFonts w:ascii="Arial" w:cs="Arial" w:eastAsia="Arial" w:hAnsi="Arial"/>
          <w:b/>
          <w:bCs/>
          <w:color w:val="1F3864"/>
          <w:sz w:val="32"/>
          <w:szCs w:val="32"/>
        </w:rPr>
        <w:t xml:space="preserve">5.  Synthesis and Research Gaps</w:t>
      </w:r>
    </w:p>
    <w:p>
      <w:pPr>
        <w:pStyle w:val="Heading2"/>
        <w:spacing w:before="280" w:after="100"/>
      </w:pPr>
      <w:r>
        <w:rPr>
          <w:rFonts w:ascii="Arial" w:cs="Arial" w:eastAsia="Arial" w:hAnsi="Arial"/>
          <w:b/>
          <w:bCs/>
          <w:color w:val="2E5597"/>
          <w:sz w:val="26"/>
          <w:szCs w:val="26"/>
        </w:rPr>
        <w:t xml:space="preserve">5.1  Summary of Reviewed Literature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300"/>
        <w:gridCol w:w="1300"/>
        <w:gridCol w:w="20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Author(s) &amp; Year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Topic</w:t>
            </w:r>
          </w:p>
        </w:tc>
        <w:tc>
          <w:tcPr>
            <w:tcW w:type="dxa" w:w="13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Model(s)</w:t>
            </w:r>
          </w:p>
        </w:tc>
        <w:tc>
          <w:tcPr>
            <w:tcW w:type="dxa" w:w="13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Key Finding</w:t>
            </w:r>
          </w:p>
        </w:tc>
        <w:tc>
          <w:tcPr>
            <w:tcW w:type="dxa" w:w="2026"/>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Relevance to This Study</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00"/>
              <w:bottom w:type="dxa" w:w="80"/>
              <w:right w:type="dxa" w:w="100"/>
            </w:tcMar>
          </w:tcPr>
          <w:p>
            <w:pPr>
              <w:spacing w:line="240"/>
            </w:pPr>
            <w:r>
              <w:rPr>
                <w:rFonts w:ascii="Arial" w:cs="Arial" w:eastAsia="Arial" w:hAnsi="Arial"/>
                <w:sz w:val="20"/>
                <w:szCs w:val="20"/>
              </w:rPr>
              <w:t xml:space="preserve">Mishkin (1992)</w:t>
            </w:r>
          </w:p>
        </w:tc>
        <w:tc>
          <w:tcPr>
            <w:tcW w:type="dxa" w:w="2000"/>
            <w:tcBorders>
              <w:top w:val="single" w:color="CCCCCC" w:sz="1"/>
              <w:left w:val="single" w:color="CCCCCC" w:sz="1"/>
              <w:bottom w:val="single" w:color="CCCCCC" w:sz="1"/>
              <w:right w:val="single" w:color="CCCCCC" w:sz="1"/>
            </w:tcBorders>
            <w:shd w:fill="F5F8FF" w:val="clear"/>
            <w:tcMar>
              <w:top w:type="dxa" w:w="80"/>
              <w:left w:type="dxa" w:w="100"/>
              <w:bottom w:type="dxa" w:w="80"/>
              <w:right w:type="dxa" w:w="100"/>
            </w:tcMar>
          </w:tcPr>
          <w:p>
            <w:pPr>
              <w:spacing w:line="240"/>
            </w:pPr>
            <w:r>
              <w:rPr>
                <w:rFonts w:ascii="Arial" w:cs="Arial" w:eastAsia="Arial" w:hAnsi="Arial"/>
                <w:sz w:val="20"/>
                <w:szCs w:val="20"/>
              </w:rPr>
              <w:t xml:space="preserve">Fisher effect in U.S. interest rates</w:t>
            </w:r>
          </w:p>
        </w:tc>
        <w:tc>
          <w:tcPr>
            <w:tcW w:type="dxa" w:w="1300"/>
            <w:tcBorders>
              <w:top w:val="single" w:color="CCCCCC" w:sz="1"/>
              <w:left w:val="single" w:color="CCCCCC" w:sz="1"/>
              <w:bottom w:val="single" w:color="CCCCCC" w:sz="1"/>
              <w:right w:val="single" w:color="CCCCCC" w:sz="1"/>
            </w:tcBorders>
            <w:shd w:fill="F5F8FF" w:val="clear"/>
            <w:tcMar>
              <w:top w:type="dxa" w:w="80"/>
              <w:left w:type="dxa" w:w="100"/>
              <w:bottom w:type="dxa" w:w="80"/>
              <w:right w:type="dxa" w:w="100"/>
            </w:tcMar>
          </w:tcPr>
          <w:p>
            <w:pPr>
              <w:spacing w:line="240"/>
            </w:pPr>
            <w:r>
              <w:rPr>
                <w:rFonts w:ascii="Arial" w:cs="Arial" w:eastAsia="Arial" w:hAnsi="Arial"/>
                <w:sz w:val="20"/>
                <w:szCs w:val="20"/>
              </w:rPr>
              <w:t xml:space="preserve">Cointegration (EG, Johansen)</w:t>
            </w:r>
          </w:p>
        </w:tc>
        <w:tc>
          <w:tcPr>
            <w:tcW w:type="dxa" w:w="1300"/>
            <w:tcBorders>
              <w:top w:val="single" w:color="CCCCCC" w:sz="1"/>
              <w:left w:val="single" w:color="CCCCCC" w:sz="1"/>
              <w:bottom w:val="single" w:color="CCCCCC" w:sz="1"/>
              <w:right w:val="single" w:color="CCCCCC" w:sz="1"/>
            </w:tcBorders>
            <w:shd w:fill="F5F8FF" w:val="clear"/>
            <w:tcMar>
              <w:top w:type="dxa" w:w="80"/>
              <w:left w:type="dxa" w:w="100"/>
              <w:bottom w:type="dxa" w:w="80"/>
              <w:right w:type="dxa" w:w="100"/>
            </w:tcMar>
          </w:tcPr>
          <w:p>
            <w:pPr>
              <w:spacing w:line="240"/>
            </w:pPr>
            <w:r>
              <w:rPr>
                <w:rFonts w:ascii="Arial" w:cs="Arial" w:eastAsia="Arial" w:hAnsi="Arial"/>
                <w:sz w:val="20"/>
                <w:szCs w:val="20"/>
              </w:rPr>
              <w:t xml:space="preserve">Long-run Fisher effect confirmed; short-run effect absent</w:t>
            </w:r>
          </w:p>
        </w:tc>
        <w:tc>
          <w:tcPr>
            <w:tcW w:type="dxa" w:w="2026"/>
            <w:tcBorders>
              <w:top w:val="single" w:color="CCCCCC" w:sz="1"/>
              <w:left w:val="single" w:color="CCCCCC" w:sz="1"/>
              <w:bottom w:val="single" w:color="CCCCCC" w:sz="1"/>
              <w:right w:val="single" w:color="CCCCCC" w:sz="1"/>
            </w:tcBorders>
            <w:shd w:fill="F5F8FF" w:val="clear"/>
            <w:tcMar>
              <w:top w:type="dxa" w:w="80"/>
              <w:left w:type="dxa" w:w="100"/>
              <w:bottom w:type="dxa" w:w="80"/>
              <w:right w:type="dxa" w:w="100"/>
            </w:tcMar>
          </w:tcPr>
          <w:p>
            <w:pPr>
              <w:spacing w:line="240"/>
            </w:pPr>
            <w:r>
              <w:rPr>
                <w:rFonts w:ascii="Arial" w:cs="Arial" w:eastAsia="Arial" w:hAnsi="Arial"/>
                <w:sz w:val="20"/>
                <w:szCs w:val="20"/>
              </w:rPr>
              <w:t xml:space="preserve">Motivates CPI as primary exogenous variable; justifies I(1) differencing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40"/>
            </w:pPr>
            <w:r>
              <w:rPr>
                <w:rFonts w:ascii="Arial" w:cs="Arial" w:eastAsia="Arial" w:hAnsi="Arial"/>
                <w:sz w:val="20"/>
                <w:szCs w:val="20"/>
              </w:rPr>
              <w:t xml:space="preserve">Baldacci &amp; Kumar (2010)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40"/>
            </w:pPr>
            <w:r>
              <w:rPr>
                <w:rFonts w:ascii="Arial" w:cs="Arial" w:eastAsia="Arial" w:hAnsi="Arial"/>
                <w:sz w:val="20"/>
                <w:szCs w:val="20"/>
              </w:rPr>
              <w:t xml:space="preserve">Fiscal determinants of sovereign bond yields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40"/>
            </w:pPr>
            <w:r>
              <w:rPr>
                <w:rFonts w:ascii="Arial" w:cs="Arial" w:eastAsia="Arial" w:hAnsi="Arial"/>
                <w:sz w:val="20"/>
                <w:szCs w:val="20"/>
              </w:rPr>
              <w:t xml:space="preserve">Panel OLS / GMM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40"/>
            </w:pPr>
            <w:r>
              <w:rPr>
                <w:rFonts w:ascii="Arial" w:cs="Arial" w:eastAsia="Arial" w:hAnsi="Arial"/>
                <w:sz w:val="20"/>
                <w:szCs w:val="20"/>
              </w:rPr>
              <w:t xml:space="preserve">Deficits, debt, VIX, and U.S. yield are significant determinants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40"/>
            </w:pPr>
            <w:r>
              <w:rPr>
                <w:rFonts w:ascii="Arial" w:cs="Arial" w:eastAsia="Arial" w:hAnsi="Arial"/>
                <w:sz w:val="20"/>
                <w:szCs w:val="20"/>
              </w:rPr>
              <w:t xml:space="preserve">Provides variable selection framework: policy rate, CPI, debt, VIX, U.S. 10Y</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00"/>
              <w:bottom w:type="dxa" w:w="80"/>
              <w:right w:type="dxa" w:w="100"/>
            </w:tcMar>
          </w:tcPr>
          <w:p>
            <w:pPr>
              <w:spacing w:line="240"/>
            </w:pPr>
            <w:r>
              <w:rPr>
                <w:rFonts w:ascii="Arial" w:cs="Arial" w:eastAsia="Arial" w:hAnsi="Arial"/>
                <w:sz w:val="20"/>
                <w:szCs w:val="20"/>
              </w:rPr>
              <w:t xml:space="preserve">Poghosyan (2014)</w:t>
            </w:r>
          </w:p>
        </w:tc>
        <w:tc>
          <w:tcPr>
            <w:tcW w:type="dxa" w:w="2000"/>
            <w:tcBorders>
              <w:top w:val="single" w:color="CCCCCC" w:sz="1"/>
              <w:left w:val="single" w:color="CCCCCC" w:sz="1"/>
              <w:bottom w:val="single" w:color="CCCCCC" w:sz="1"/>
              <w:right w:val="single" w:color="CCCCCC" w:sz="1"/>
            </w:tcBorders>
            <w:shd w:fill="F5F8FF" w:val="clear"/>
            <w:tcMar>
              <w:top w:type="dxa" w:w="80"/>
              <w:left w:type="dxa" w:w="100"/>
              <w:bottom w:type="dxa" w:w="80"/>
              <w:right w:type="dxa" w:w="100"/>
            </w:tcMar>
          </w:tcPr>
          <w:p>
            <w:pPr>
              <w:spacing w:line="240"/>
            </w:pPr>
            <w:r>
              <w:rPr>
                <w:rFonts w:ascii="Arial" w:cs="Arial" w:eastAsia="Arial" w:hAnsi="Arial"/>
                <w:sz w:val="20"/>
                <w:szCs w:val="20"/>
              </w:rPr>
              <w:t xml:space="preserve">Long/short-run yield determinants, advanced economies</w:t>
            </w:r>
          </w:p>
        </w:tc>
        <w:tc>
          <w:tcPr>
            <w:tcW w:type="dxa" w:w="1300"/>
            <w:tcBorders>
              <w:top w:val="single" w:color="CCCCCC" w:sz="1"/>
              <w:left w:val="single" w:color="CCCCCC" w:sz="1"/>
              <w:bottom w:val="single" w:color="CCCCCC" w:sz="1"/>
              <w:right w:val="single" w:color="CCCCCC" w:sz="1"/>
            </w:tcBorders>
            <w:shd w:fill="F5F8FF" w:val="clear"/>
            <w:tcMar>
              <w:top w:type="dxa" w:w="80"/>
              <w:left w:type="dxa" w:w="100"/>
              <w:bottom w:type="dxa" w:w="80"/>
              <w:right w:type="dxa" w:w="100"/>
            </w:tcMar>
          </w:tcPr>
          <w:p>
            <w:pPr>
              <w:spacing w:line="240"/>
            </w:pPr>
            <w:r>
              <w:rPr>
                <w:rFonts w:ascii="Arial" w:cs="Arial" w:eastAsia="Arial" w:hAnsi="Arial"/>
                <w:sz w:val="20"/>
                <w:szCs w:val="20"/>
              </w:rPr>
              <w:t xml:space="preserve">Panel error-correction model</w:t>
            </w:r>
          </w:p>
        </w:tc>
        <w:tc>
          <w:tcPr>
            <w:tcW w:type="dxa" w:w="1300"/>
            <w:tcBorders>
              <w:top w:val="single" w:color="CCCCCC" w:sz="1"/>
              <w:left w:val="single" w:color="CCCCCC" w:sz="1"/>
              <w:bottom w:val="single" w:color="CCCCCC" w:sz="1"/>
              <w:right w:val="single" w:color="CCCCCC" w:sz="1"/>
            </w:tcBorders>
            <w:shd w:fill="F5F8FF" w:val="clear"/>
            <w:tcMar>
              <w:top w:type="dxa" w:w="80"/>
              <w:left w:type="dxa" w:w="100"/>
              <w:bottom w:type="dxa" w:w="80"/>
              <w:right w:type="dxa" w:w="100"/>
            </w:tcMar>
          </w:tcPr>
          <w:p>
            <w:pPr>
              <w:spacing w:line="240"/>
            </w:pPr>
            <w:r>
              <w:rPr>
                <w:rFonts w:ascii="Arial" w:cs="Arial" w:eastAsia="Arial" w:hAnsi="Arial"/>
                <w:sz w:val="20"/>
                <w:szCs w:val="20"/>
              </w:rPr>
              <w:t xml:space="preserve">Global factors dominate short run; domestic macro governs long run</w:t>
            </w:r>
          </w:p>
        </w:tc>
        <w:tc>
          <w:tcPr>
            <w:tcW w:type="dxa" w:w="2026"/>
            <w:tcBorders>
              <w:top w:val="single" w:color="CCCCCC" w:sz="1"/>
              <w:left w:val="single" w:color="CCCCCC" w:sz="1"/>
              <w:bottom w:val="single" w:color="CCCCCC" w:sz="1"/>
              <w:right w:val="single" w:color="CCCCCC" w:sz="1"/>
            </w:tcBorders>
            <w:shd w:fill="F5F8FF" w:val="clear"/>
            <w:tcMar>
              <w:top w:type="dxa" w:w="80"/>
              <w:left w:type="dxa" w:w="100"/>
              <w:bottom w:type="dxa" w:w="80"/>
              <w:right w:type="dxa" w:w="100"/>
            </w:tcMar>
          </w:tcPr>
          <w:p>
            <w:pPr>
              <w:spacing w:line="240"/>
            </w:pPr>
            <w:r>
              <w:rPr>
                <w:rFonts w:ascii="Arial" w:cs="Arial" w:eastAsia="Arial" w:hAnsi="Arial"/>
                <w:sz w:val="20"/>
                <w:szCs w:val="20"/>
              </w:rPr>
              <w:t xml:space="preserve">Informs lag structure and Cholesky ordering for VAR robustness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40"/>
            </w:pPr>
            <w:r>
              <w:rPr>
                <w:rFonts w:ascii="Arial" w:cs="Arial" w:eastAsia="Arial" w:hAnsi="Arial"/>
                <w:sz w:val="20"/>
                <w:szCs w:val="20"/>
              </w:rPr>
              <w:t xml:space="preserve">Huei &amp; Kamisan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40"/>
            </w:pPr>
            <w:r>
              <w:rPr>
                <w:rFonts w:ascii="Arial" w:cs="Arial" w:eastAsia="Arial" w:hAnsi="Arial"/>
                <w:sz w:val="20"/>
                <w:szCs w:val="20"/>
              </w:rPr>
              <w:t xml:space="preserve">CPI forecasting, Malaysia, fuel price regressors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40"/>
            </w:pPr>
            <w:r>
              <w:rPr>
                <w:rFonts w:ascii="Arial" w:cs="Arial" w:eastAsia="Arial" w:hAnsi="Arial"/>
                <w:sz w:val="20"/>
                <w:szCs w:val="20"/>
              </w:rPr>
              <w:t xml:space="preserve">ARIMA, ARIMAX, MLR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40"/>
            </w:pPr>
            <w:r>
              <w:rPr>
                <w:rFonts w:ascii="Arial" w:cs="Arial" w:eastAsia="Arial" w:hAnsi="Arial"/>
                <w:sz w:val="20"/>
                <w:szCs w:val="20"/>
              </w:rPr>
              <w:t xml:space="preserve">ARIMAX best in-sample; ARIMA(1,1,1) best out-of-sample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40"/>
            </w:pPr>
            <w:r>
              <w:rPr>
                <w:rFonts w:ascii="Arial" w:cs="Arial" w:eastAsia="Arial" w:hAnsi="Arial"/>
                <w:sz w:val="20"/>
                <w:szCs w:val="20"/>
              </w:rPr>
              <w:t xml:space="preserve">Warns against in-sample-only evaluation; supports ARIMAX over MLR</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00"/>
              <w:bottom w:type="dxa" w:w="80"/>
              <w:right w:type="dxa" w:w="100"/>
            </w:tcMar>
          </w:tcPr>
          <w:p>
            <w:pPr>
              <w:spacing w:line="240"/>
            </w:pPr>
            <w:r>
              <w:rPr>
                <w:rFonts w:ascii="Arial" w:cs="Arial" w:eastAsia="Arial" w:hAnsi="Arial"/>
                <w:sz w:val="20"/>
                <w:szCs w:val="20"/>
              </w:rPr>
              <w:t xml:space="preserve">Shinkarenko et al. (2021)</w:t>
            </w:r>
          </w:p>
        </w:tc>
        <w:tc>
          <w:tcPr>
            <w:tcW w:type="dxa" w:w="2000"/>
            <w:tcBorders>
              <w:top w:val="single" w:color="CCCCCC" w:sz="1"/>
              <w:left w:val="single" w:color="CCCCCC" w:sz="1"/>
              <w:bottom w:val="single" w:color="CCCCCC" w:sz="1"/>
              <w:right w:val="single" w:color="CCCCCC" w:sz="1"/>
            </w:tcBorders>
            <w:shd w:fill="F5F8FF" w:val="clear"/>
            <w:tcMar>
              <w:top w:type="dxa" w:w="80"/>
              <w:left w:type="dxa" w:w="100"/>
              <w:bottom w:type="dxa" w:w="80"/>
              <w:right w:type="dxa" w:w="100"/>
            </w:tcMar>
          </w:tcPr>
          <w:p>
            <w:pPr>
              <w:spacing w:line="240"/>
            </w:pPr>
            <w:r>
              <w:rPr>
                <w:rFonts w:ascii="Arial" w:cs="Arial" w:eastAsia="Arial" w:hAnsi="Arial"/>
                <w:sz w:val="20"/>
                <w:szCs w:val="20"/>
              </w:rPr>
              <w:t xml:space="preserve">CPI seasonality and forecasting, Ukraine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00"/>
              <w:bottom w:type="dxa" w:w="80"/>
              <w:right w:type="dxa" w:w="100"/>
            </w:tcMar>
          </w:tcPr>
          <w:p>
            <w:pPr>
              <w:spacing w:line="240"/>
            </w:pPr>
            <w:r>
              <w:rPr>
                <w:rFonts w:ascii="Arial" w:cs="Arial" w:eastAsia="Arial" w:hAnsi="Arial"/>
                <w:sz w:val="20"/>
                <w:szCs w:val="20"/>
              </w:rPr>
              <w:t xml:space="preserve">Seasonal ARIMA, Holt-Winters</w:t>
            </w:r>
          </w:p>
        </w:tc>
        <w:tc>
          <w:tcPr>
            <w:tcW w:type="dxa" w:w="1300"/>
            <w:tcBorders>
              <w:top w:val="single" w:color="CCCCCC" w:sz="1"/>
              <w:left w:val="single" w:color="CCCCCC" w:sz="1"/>
              <w:bottom w:val="single" w:color="CCCCCC" w:sz="1"/>
              <w:right w:val="single" w:color="CCCCCC" w:sz="1"/>
            </w:tcBorders>
            <w:shd w:fill="F5F8FF" w:val="clear"/>
            <w:tcMar>
              <w:top w:type="dxa" w:w="80"/>
              <w:left w:type="dxa" w:w="100"/>
              <w:bottom w:type="dxa" w:w="80"/>
              <w:right w:type="dxa" w:w="100"/>
            </w:tcMar>
          </w:tcPr>
          <w:p>
            <w:pPr>
              <w:spacing w:line="240"/>
            </w:pPr>
            <w:r>
              <w:rPr>
                <w:rFonts w:ascii="Arial" w:cs="Arial" w:eastAsia="Arial" w:hAnsi="Arial"/>
                <w:sz w:val="20"/>
                <w:szCs w:val="20"/>
              </w:rPr>
              <w:t xml:space="preserve">Annual seasonality in CPI confirmed; Holt-Winters best OOS</w:t>
            </w:r>
          </w:p>
        </w:tc>
        <w:tc>
          <w:tcPr>
            <w:tcW w:type="dxa" w:w="2026"/>
            <w:tcBorders>
              <w:top w:val="single" w:color="CCCCCC" w:sz="1"/>
              <w:left w:val="single" w:color="CCCCCC" w:sz="1"/>
              <w:bottom w:val="single" w:color="CCCCCC" w:sz="1"/>
              <w:right w:val="single" w:color="CCCCCC" w:sz="1"/>
            </w:tcBorders>
            <w:shd w:fill="F5F8FF" w:val="clear"/>
            <w:tcMar>
              <w:top w:type="dxa" w:w="80"/>
              <w:left w:type="dxa" w:w="100"/>
              <w:bottom w:type="dxa" w:w="80"/>
              <w:right w:type="dxa" w:w="100"/>
            </w:tcMar>
          </w:tcPr>
          <w:p>
            <w:pPr>
              <w:spacing w:line="240"/>
            </w:pPr>
            <w:r>
              <w:rPr>
                <w:rFonts w:ascii="Arial" w:cs="Arial" w:eastAsia="Arial" w:hAnsi="Arial"/>
                <w:sz w:val="20"/>
                <w:szCs w:val="20"/>
              </w:rPr>
              <w:t xml:space="preserve">Supports ACF/STL methodology; suggests weak seasonality in financial yields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40"/>
            </w:pPr>
            <w:r>
              <w:rPr>
                <w:rFonts w:ascii="Arial" w:cs="Arial" w:eastAsia="Arial" w:hAnsi="Arial"/>
                <w:sz w:val="20"/>
                <w:szCs w:val="20"/>
              </w:rPr>
              <w:t xml:space="preserve">Are, Aako &amp; Ojo (2023)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40"/>
            </w:pPr>
            <w:r>
              <w:rPr>
                <w:rFonts w:ascii="Arial" w:cs="Arial" w:eastAsia="Arial" w:hAnsi="Arial"/>
                <w:sz w:val="20"/>
                <w:szCs w:val="20"/>
              </w:rPr>
              <w:t xml:space="preserve">Inflation rate forecasting, Nigeria, multiple exog.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40"/>
            </w:pPr>
            <w:r>
              <w:rPr>
                <w:rFonts w:ascii="Arial" w:cs="Arial" w:eastAsia="Arial" w:hAnsi="Arial"/>
                <w:sz w:val="20"/>
                <w:szCs w:val="20"/>
              </w:rPr>
              <w:t xml:space="preserve">ARIMA, SARIMA, SARIMAX</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40"/>
            </w:pPr>
            <w:r>
              <w:rPr>
                <w:rFonts w:ascii="Arial" w:cs="Arial" w:eastAsia="Arial" w:hAnsi="Arial"/>
                <w:sz w:val="20"/>
                <w:szCs w:val="20"/>
              </w:rPr>
              <w:t xml:space="preserve">SARIMAX best on AIC and RMSE; only interest rate significant</w:t>
            </w:r>
          </w:p>
        </w:tc>
        <w:tc>
          <w:tcPr>
            <w:tcW w:type="dxa" w:w="2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40"/>
            </w:pPr>
            <w:r>
              <w:rPr>
                <w:rFonts w:ascii="Arial" w:cs="Arial" w:eastAsia="Arial" w:hAnsi="Arial"/>
                <w:sz w:val="20"/>
                <w:szCs w:val="20"/>
              </w:rPr>
              <w:t xml:space="preserve">Validates SARIMAX framework; warns about insignificant regressors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00"/>
              <w:bottom w:type="dxa" w:w="80"/>
              <w:right w:type="dxa" w:w="100"/>
            </w:tcMar>
          </w:tcPr>
          <w:p>
            <w:pPr>
              <w:spacing w:line="240"/>
            </w:pPr>
            <w:r>
              <w:rPr>
                <w:rFonts w:ascii="Arial" w:cs="Arial" w:eastAsia="Arial" w:hAnsi="Arial"/>
                <w:sz w:val="20"/>
                <w:szCs w:val="20"/>
              </w:rPr>
              <w:t xml:space="preserve">Zhou (2025)</w:t>
            </w:r>
          </w:p>
        </w:tc>
        <w:tc>
          <w:tcPr>
            <w:tcW w:type="dxa" w:w="2000"/>
            <w:tcBorders>
              <w:top w:val="single" w:color="CCCCCC" w:sz="1"/>
              <w:left w:val="single" w:color="CCCCCC" w:sz="1"/>
              <w:bottom w:val="single" w:color="CCCCCC" w:sz="1"/>
              <w:right w:val="single" w:color="CCCCCC" w:sz="1"/>
            </w:tcBorders>
            <w:shd w:fill="F5F8FF" w:val="clear"/>
            <w:tcMar>
              <w:top w:type="dxa" w:w="80"/>
              <w:left w:type="dxa" w:w="100"/>
              <w:bottom w:type="dxa" w:w="80"/>
              <w:right w:type="dxa" w:w="100"/>
            </w:tcMar>
          </w:tcPr>
          <w:p>
            <w:pPr>
              <w:spacing w:line="240"/>
            </w:pPr>
            <w:r>
              <w:rPr>
                <w:rFonts w:ascii="Arial" w:cs="Arial" w:eastAsia="Arial" w:hAnsi="Arial"/>
                <w:sz w:val="20"/>
                <w:szCs w:val="20"/>
              </w:rPr>
              <w:t xml:space="preserve">ARIMA forecasting of 10Y bond yields, US &amp; Singapore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00"/>
              <w:bottom w:type="dxa" w:w="80"/>
              <w:right w:type="dxa" w:w="100"/>
            </w:tcMar>
          </w:tcPr>
          <w:p>
            <w:pPr>
              <w:spacing w:line="240"/>
            </w:pPr>
            <w:r>
              <w:rPr>
                <w:rFonts w:ascii="Arial" w:cs="Arial" w:eastAsia="Arial" w:hAnsi="Arial"/>
                <w:sz w:val="20"/>
                <w:szCs w:val="20"/>
              </w:rPr>
              <w:t xml:space="preserve">Univariate ARIMA</w:t>
            </w:r>
          </w:p>
        </w:tc>
        <w:tc>
          <w:tcPr>
            <w:tcW w:type="dxa" w:w="1300"/>
            <w:tcBorders>
              <w:top w:val="single" w:color="CCCCCC" w:sz="1"/>
              <w:left w:val="single" w:color="CCCCCC" w:sz="1"/>
              <w:bottom w:val="single" w:color="CCCCCC" w:sz="1"/>
              <w:right w:val="single" w:color="CCCCCC" w:sz="1"/>
            </w:tcBorders>
            <w:shd w:fill="F5F8FF" w:val="clear"/>
            <w:tcMar>
              <w:top w:type="dxa" w:w="80"/>
              <w:left w:type="dxa" w:w="100"/>
              <w:bottom w:type="dxa" w:w="80"/>
              <w:right w:type="dxa" w:w="100"/>
            </w:tcMar>
          </w:tcPr>
          <w:p>
            <w:pPr>
              <w:spacing w:line="240"/>
            </w:pPr>
            <w:r>
              <w:rPr>
                <w:rFonts w:ascii="Arial" w:cs="Arial" w:eastAsia="Arial" w:hAnsi="Arial"/>
                <w:sz w:val="20"/>
                <w:szCs w:val="20"/>
              </w:rPr>
              <w:t xml:space="preserve">ARIMA(1,1,1) adequate for US yield; MAPE = 1.2%</w:t>
            </w:r>
          </w:p>
        </w:tc>
        <w:tc>
          <w:tcPr>
            <w:tcW w:type="dxa" w:w="2026"/>
            <w:tcBorders>
              <w:top w:val="single" w:color="CCCCCC" w:sz="1"/>
              <w:left w:val="single" w:color="CCCCCC" w:sz="1"/>
              <w:bottom w:val="single" w:color="CCCCCC" w:sz="1"/>
              <w:right w:val="single" w:color="CCCCCC" w:sz="1"/>
            </w:tcBorders>
            <w:shd w:fill="F5F8FF" w:val="clear"/>
            <w:tcMar>
              <w:top w:type="dxa" w:w="80"/>
              <w:left w:type="dxa" w:w="100"/>
              <w:bottom w:type="dxa" w:w="80"/>
              <w:right w:type="dxa" w:w="100"/>
            </w:tcMar>
          </w:tcPr>
          <w:p>
            <w:pPr>
              <w:spacing w:line="240"/>
            </w:pPr>
            <w:r>
              <w:rPr>
                <w:rFonts w:ascii="Arial" w:cs="Arial" w:eastAsia="Arial" w:hAnsi="Arial"/>
                <w:sz w:val="20"/>
                <w:szCs w:val="20"/>
              </w:rPr>
              <w:t xml:space="preserve">Closest comparator; this study extends by adding exogenous block</w:t>
            </w:r>
          </w:p>
        </w:tc>
      </w:tr>
    </w:tbl>
    <w:p>
      <w:pPr>
        <w:spacing w:after="160"/>
      </w:pPr>
      <w:r>
        <w:t xml:space="preserve"/>
      </w:r>
    </w:p>
    <w:p>
      <w:pPr>
        <w:pStyle w:val="Heading2"/>
        <w:spacing w:before="280" w:after="100"/>
      </w:pPr>
      <w:r>
        <w:rPr>
          <w:rFonts w:ascii="Arial" w:cs="Arial" w:eastAsia="Arial" w:hAnsi="Arial"/>
          <w:b/>
          <w:bCs/>
          <w:color w:val="2E5597"/>
          <w:sz w:val="26"/>
          <w:szCs w:val="26"/>
        </w:rPr>
        <w:t xml:space="preserve">5.2  Key Themes Emerging from the Literature</w:t>
      </w:r>
    </w:p>
    <w:p>
      <w:pPr>
        <w:spacing w:after="120" w:line="276"/>
        <w:jc w:val="both"/>
      </w:pPr>
      <w:r>
        <w:rPr>
          <w:rFonts w:ascii="Arial" w:cs="Arial" w:eastAsia="Arial" w:hAnsi="Arial"/>
          <w:sz w:val="22"/>
          <w:szCs w:val="22"/>
        </w:rPr>
        <w:t xml:space="preserve">The reviewed studies point to four cross-cutting themes that directly inform research design:</w:t>
      </w:r>
    </w:p>
    <w:p>
      <w:pPr>
        <w:spacing w:after="80"/>
      </w:pPr>
      <w:r>
        <w:t xml:space="preserve"/>
      </w:r>
    </w:p>
    <w:p>
      <w:pPr>
        <w:pStyle w:val="ListParagraph"/>
        <w:numPr>
          <w:ilvl w:val="0"/>
          <w:numId w:val="2"/>
        </w:numPr>
        <w:spacing w:after="80"/>
      </w:pPr>
      <w:r>
        <w:rPr>
          <w:rFonts w:ascii="Arial" w:cs="Arial" w:eastAsia="Arial" w:hAnsi="Arial"/>
          <w:b/>
          <w:bCs/>
          <w:sz w:val="22"/>
          <w:szCs w:val="22"/>
        </w:rPr>
        <w:t xml:space="preserve">Fisher effect: </w:t>
      </w:r>
      <w:r>
        <w:rPr>
          <w:rFonts w:ascii="Arial" w:cs="Arial" w:eastAsia="Arial" w:hAnsi="Arial"/>
          <w:sz w:val="22"/>
          <w:szCs w:val="22"/>
        </w:rPr>
        <w:t xml:space="preserve">The Fisher effect provides the primary theoretical channel from CPI to nominal yields, but operates more strongly at long horizons than short ones (Mishkin, 1992). Models estimated in first differences (ARIMAX with d=1) capture short-run dynamics, while cointegration tests (Johansen) can verify the long-run relationship.</w:t>
      </w:r>
    </w:p>
    <w:p>
      <w:pPr>
        <w:pStyle w:val="ListParagraph"/>
        <w:numPr>
          <w:ilvl w:val="0"/>
          <w:numId w:val="2"/>
        </w:numPr>
        <w:spacing w:after="80"/>
      </w:pPr>
      <w:r>
        <w:rPr>
          <w:rFonts w:ascii="Arial" w:cs="Arial" w:eastAsia="Arial" w:hAnsi="Arial"/>
          <w:b/>
          <w:bCs/>
          <w:sz w:val="22"/>
          <w:szCs w:val="22"/>
        </w:rPr>
        <w:t xml:space="preserve">Global vs. domestic: </w:t>
      </w:r>
      <w:r>
        <w:rPr>
          <w:rFonts w:ascii="Arial" w:cs="Arial" w:eastAsia="Arial" w:hAnsi="Arial"/>
          <w:sz w:val="22"/>
          <w:szCs w:val="22"/>
        </w:rPr>
        <w:t xml:space="preserve">Global factors dominate short-run yield dynamics for small open economies, with domestic CPI playing a secondary role (Poghosyan, 2014; Baldacci &amp; Kumar, 2010). Variable selection should include U.S. 10-year yields and VIX alongside domestic macro block.</w:t>
      </w:r>
    </w:p>
    <w:p>
      <w:pPr>
        <w:pStyle w:val="ListParagraph"/>
        <w:numPr>
          <w:ilvl w:val="0"/>
          <w:numId w:val="2"/>
        </w:numPr>
        <w:spacing w:after="80"/>
      </w:pPr>
      <w:r>
        <w:rPr>
          <w:rFonts w:ascii="Arial" w:cs="Arial" w:eastAsia="Arial" w:hAnsi="Arial"/>
          <w:b/>
          <w:bCs/>
          <w:sz w:val="22"/>
          <w:szCs w:val="22"/>
        </w:rPr>
        <w:t xml:space="preserve">In-sample vs. OOS: </w:t>
      </w:r>
      <w:r>
        <w:rPr>
          <w:rFonts w:ascii="Arial" w:cs="Arial" w:eastAsia="Arial" w:hAnsi="Arial"/>
          <w:sz w:val="22"/>
          <w:szCs w:val="22"/>
        </w:rPr>
        <w:t xml:space="preserve">In-sample fit (AIC/BIC) and out-of-sample accuracy (RMSE/MAE) can diverge substantially. Huei &amp; Kamisan (2025) and Are et al. (2023) both document cases where a simpler model outperforms a richer specification out-of-sample. Model evaluation must use a hold-out sample.</w:t>
      </w:r>
    </w:p>
    <w:p>
      <w:pPr>
        <w:pStyle w:val="ListParagraph"/>
        <w:numPr>
          <w:ilvl w:val="0"/>
          <w:numId w:val="2"/>
        </w:numPr>
        <w:spacing w:after="80"/>
      </w:pPr>
      <w:r>
        <w:rPr>
          <w:rFonts w:ascii="Arial" w:cs="Arial" w:eastAsia="Arial" w:hAnsi="Arial"/>
          <w:b/>
          <w:bCs/>
          <w:sz w:val="22"/>
          <w:szCs w:val="22"/>
        </w:rPr>
        <w:t xml:space="preserve">Seasonality: </w:t>
      </w:r>
      <w:r>
        <w:rPr>
          <w:rFonts w:ascii="Arial" w:cs="Arial" w:eastAsia="Arial" w:hAnsi="Arial"/>
          <w:sz w:val="22"/>
          <w:szCs w:val="22"/>
        </w:rPr>
        <w:t xml:space="preserve">Seasonality in financial yields is empirically weak compared to consumer price indices. Shinkarenko et al. (2021) find strong annual seasonality in CPI; Zhou (2025) finds no evidence in bond yields. SARIMAX is estimated as an extension, but the prior expectation is that seasonal components add marginal forecasting value for yields.</w:t>
      </w:r>
    </w:p>
    <w:p>
      <w:pPr>
        <w:spacing w:after="200"/>
      </w:pPr>
      <w:r>
        <w:t xml:space="preserve"/>
      </w:r>
    </w:p>
    <w:p>
      <w:pPr>
        <w:pStyle w:val="Heading2"/>
        <w:spacing w:before="280" w:after="100"/>
      </w:pPr>
      <w:r>
        <w:rPr>
          <w:rFonts w:ascii="Arial" w:cs="Arial" w:eastAsia="Arial" w:hAnsi="Arial"/>
          <w:b/>
          <w:bCs/>
          <w:color w:val="2E5597"/>
          <w:sz w:val="26"/>
          <w:szCs w:val="26"/>
        </w:rPr>
        <w:t xml:space="preserve">5.3  Research Gaps Addressed by This Study</w:t>
      </w:r>
    </w:p>
    <w:p>
      <w:pPr>
        <w:spacing w:after="120" w:line="276"/>
        <w:jc w:val="both"/>
      </w:pPr>
      <w:r>
        <w:rPr>
          <w:rFonts w:ascii="Arial" w:cs="Arial" w:eastAsia="Arial" w:hAnsi="Arial"/>
          <w:sz w:val="22"/>
          <w:szCs w:val="22"/>
        </w:rPr>
        <w:t xml:space="preserve">The reviewed literature leaves three specific gaps that motivate this study:</w:t>
      </w:r>
    </w:p>
    <w:p>
      <w:pPr>
        <w:spacing w:after="80"/>
      </w:pPr>
      <w:r>
        <w:t xml:space="preserve"/>
      </w:r>
    </w:p>
    <w:p>
      <w:pPr>
        <w:pStyle w:val="ListParagraph"/>
        <w:numPr>
          <w:ilvl w:val="0"/>
          <w:numId w:val="2"/>
        </w:numPr>
        <w:spacing w:after="80"/>
      </w:pPr>
      <w:r>
        <w:rPr>
          <w:rFonts w:ascii="Arial" w:cs="Arial" w:eastAsia="Arial" w:hAnsi="Arial"/>
          <w:sz w:val="22"/>
          <w:szCs w:val="22"/>
        </w:rPr>
        <w:t xml:space="preserve">No study directly estimates ARIMAX or SARIMAX with CPI as an exogenous variable for the prediction of sovereign bond yields. Huei &amp; Kamisan (2025) use ARIMAX for CPI forecasting; Zhou (2025) uses ARIMA for yield forecasting. This study combines both, placing CPI inside the exogenous block of a bond yield model.</w:t>
      </w:r>
    </w:p>
    <w:p>
      <w:pPr>
        <w:pStyle w:val="ListParagraph"/>
        <w:numPr>
          <w:ilvl w:val="0"/>
          <w:numId w:val="2"/>
        </w:numPr>
        <w:spacing w:after="80"/>
      </w:pPr>
      <w:r>
        <w:rPr>
          <w:rFonts w:ascii="Arial" w:cs="Arial" w:eastAsia="Arial" w:hAnsi="Arial"/>
          <w:sz w:val="22"/>
          <w:szCs w:val="22"/>
        </w:rPr>
        <w:t xml:space="preserve">Existing studies focus on large, liquid markets (U.S., Singapore) or emerging economies (Nigeria, Ukraine). Small advanced open economies within the eurozone (e.g. Ireland) are underrepresented, despite their particular sensitivity to both ECB policy and global risk factors.</w:t>
      </w:r>
    </w:p>
    <w:p>
      <w:pPr>
        <w:pStyle w:val="ListParagraph"/>
        <w:numPr>
          <w:ilvl w:val="0"/>
          <w:numId w:val="2"/>
        </w:numPr>
        <w:spacing w:after="80"/>
      </w:pPr>
      <w:r>
        <w:rPr>
          <w:rFonts w:ascii="Arial" w:cs="Arial" w:eastAsia="Arial" w:hAnsi="Arial"/>
          <w:sz w:val="22"/>
          <w:szCs w:val="22"/>
        </w:rPr>
        <w:t xml:space="preserve">The comparative contribution of seasonal encoding methods (Fourier terms vs. seasonal ARIMA component vs. month dummies) has not been examined in the sovereign yield context. This study includes all three as competing specifications within the SARIMAX framework.</w:t>
      </w:r>
    </w:p>
    <w:p>
      <w:pPr>
        <w:spacing w:after="240"/>
      </w:pPr>
      <w:r>
        <w:t xml:space="preserve"/>
      </w:r>
    </w:p>
    <w:p>
      <w:pPr>
        <w:pStyle w:val="Heading1"/>
        <w:pBdr>
          <w:bottom w:val="single" w:color="1F3864" w:sz="4" w:space="4"/>
        </w:pBdr>
        <w:spacing w:before="360" w:after="160"/>
      </w:pPr>
      <w:r>
        <w:rPr>
          <w:rFonts w:ascii="Arial" w:cs="Arial" w:eastAsia="Arial" w:hAnsi="Arial"/>
          <w:b/>
          <w:bCs/>
          <w:color w:val="1F3864"/>
          <w:sz w:val="32"/>
          <w:szCs w:val="32"/>
        </w:rPr>
        <w:t xml:space="preserve">6.  Conclusion</w:t>
      </w:r>
    </w:p>
    <w:p>
      <w:pPr>
        <w:spacing w:after="120" w:line="276"/>
        <w:jc w:val="both"/>
      </w:pPr>
      <w:r>
        <w:rPr>
          <w:rFonts w:ascii="Arial" w:cs="Arial" w:eastAsia="Arial" w:hAnsi="Arial"/>
          <w:sz w:val="22"/>
          <w:szCs w:val="22"/>
        </w:rPr>
        <w:t xml:space="preserve">The reviewed literature establishes a coherent theoretical and empirical basis for forecasting sovereign bond yields using CPI and other macroeconomic variables within a time-series framework. The Fisher effect (Mishkin, 1992) justifies CPI as the primary exogenous driver of nominal yields in the long run. The macro-determinants literature (Baldacci &amp; Kumar, 2010; Poghosyan, 2014) provides a variable selection framework that spans monetary conditions, fiscal fundamentals, and global risk factors.</w:t>
      </w:r>
    </w:p>
    <w:p>
      <w:pPr>
        <w:spacing w:after="120" w:line="276"/>
        <w:jc w:val="both"/>
      </w:pPr>
      <w:r>
        <w:rPr>
          <w:rFonts w:ascii="Arial" w:cs="Arial" w:eastAsia="Arial" w:hAnsi="Arial"/>
          <w:sz w:val="22"/>
          <w:szCs w:val="22"/>
        </w:rPr>
        <w:t xml:space="preserve">Applied ARIMAX/SARIMAX studies in adjacent domains (Huei &amp; Kamisan, 2025; Are et al., 2023; Shinkarenko et al., 2021) validate the modelling approach while issuing important cautions: exogenous variables improve in-sample fit but do not always improve out-of-sample accuracy, and seasonal components matter more for consumer price series than for financial yields. Zhou (2025) confirms that ARIMA(1,1,1) is a strong univariate baseline for 10-year government bond yields, which this study aims to improve upon by incorporating a macro-financial exogenous block.</w:t>
      </w:r>
    </w:p>
    <w:p>
      <w:pPr>
        <w:spacing w:after="120" w:line="276"/>
        <w:jc w:val="both"/>
      </w:pPr>
      <w:r>
        <w:rPr>
          <w:rFonts w:ascii="Arial" w:cs="Arial" w:eastAsia="Arial" w:hAnsi="Arial"/>
          <w:sz w:val="22"/>
          <w:szCs w:val="22"/>
        </w:rPr>
        <w:t xml:space="preserve">The contribution of this study is therefore to bridge the macro-finance determinants literature and the applied time-series forecasting literature by estimating ARIMAX and SARIMAX models in which CPI, the policy interest rate, industrial production, the exchange rate, global risk indicators, and the U.S. Treasury yield jointly predict a country’s 10-year sovereign bond yield, with explicit testing of whether seasonal features materially improve forecast accuracy.</w:t>
      </w:r>
    </w:p>
    <w:p>
      <w:pPr>
        <w:spacing w:after="320"/>
      </w:pPr>
      <w:r>
        <w:t xml:space="preserve"/>
      </w:r>
    </w:p>
    <w:p>
      <w:pPr>
        <w:pStyle w:val="Heading1"/>
        <w:pBdr>
          <w:bottom w:val="single" w:color="1F3864" w:sz="4" w:space="4"/>
        </w:pBdr>
        <w:spacing w:before="360" w:after="160"/>
      </w:pPr>
      <w:r>
        <w:rPr>
          <w:rFonts w:ascii="Arial" w:cs="Arial" w:eastAsia="Arial" w:hAnsi="Arial"/>
          <w:b/>
          <w:bCs/>
          <w:color w:val="1F3864"/>
          <w:sz w:val="32"/>
          <w:szCs w:val="32"/>
        </w:rPr>
        <w:t xml:space="preserve">References</w:t>
      </w:r>
    </w:p>
    <w:p>
      <w:pPr>
        <w:spacing w:after="100" w:line="252"/>
        <w:ind w:left="720" w:hanging="720"/>
        <w:jc w:val="both"/>
      </w:pPr>
      <w:r>
        <w:rPr>
          <w:rFonts w:ascii="Arial" w:cs="Arial" w:eastAsia="Arial" w:hAnsi="Arial"/>
          <w:sz w:val="20"/>
          <w:szCs w:val="20"/>
        </w:rPr>
        <w:t xml:space="preserve">Are, S.O., Aako, O.L. and Ojo, G.O. (2023). A Parametric Evaluation of Nigeria Inflation Rates using SARIMAX Multiple Time Series Model. Ilaro Journal of Humanities and Management (IJOHAM), Volume 2, 2023 Edition. ISSN: 2682-6577. Available at: https://fpihumanitiesjournal.federalpolyilaro.edu.ng/</w:t>
      </w:r>
    </w:p>
    <w:p>
      <w:pPr>
        <w:spacing w:after="100" w:line="252"/>
        <w:ind w:left="720" w:hanging="720"/>
        <w:jc w:val="both"/>
      </w:pPr>
      <w:r>
        <w:rPr>
          <w:rFonts w:ascii="Arial" w:cs="Arial" w:eastAsia="Arial" w:hAnsi="Arial"/>
          <w:sz w:val="20"/>
          <w:szCs w:val="20"/>
        </w:rPr>
        <w:t xml:space="preserve">Baldacci, E. and Kumar, M.S. (2010). Fiscal Deficits, Public Debt, and Sovereign Bond Yields. IMF Working Paper WP/10/184. International Monetary Fund, Washington D.C.</w:t>
      </w:r>
    </w:p>
    <w:p>
      <w:pPr>
        <w:spacing w:after="100" w:line="252"/>
        <w:ind w:left="720" w:hanging="720"/>
        <w:jc w:val="both"/>
      </w:pPr>
      <w:r>
        <w:rPr>
          <w:rFonts w:ascii="Arial" w:cs="Arial" w:eastAsia="Arial" w:hAnsi="Arial"/>
          <w:sz w:val="20"/>
          <w:szCs w:val="20"/>
        </w:rPr>
        <w:t xml:space="preserve">Fisher, I. (1930). The Theory of Interest. New York: Macmillan.</w:t>
      </w:r>
    </w:p>
    <w:p>
      <w:pPr>
        <w:spacing w:after="100" w:line="252"/>
        <w:ind w:left="720" w:hanging="720"/>
        <w:jc w:val="both"/>
      </w:pPr>
      <w:r>
        <w:rPr>
          <w:rFonts w:ascii="Arial" w:cs="Arial" w:eastAsia="Arial" w:hAnsi="Arial"/>
          <w:sz w:val="20"/>
          <w:szCs w:val="20"/>
        </w:rPr>
        <w:t xml:space="preserve">Pow Jing Huei and Nur Arina Bazilah Kamisan (2025). Forecasting the Consumer Price Index (CPI) Using Time Series and Multiple Linear Regression Models: Analysing the Influence of Fuel Prices on Inflation Trends. Proceedings of Science and Mathematics, Vol. 32, pp. 59–68.</w:t>
      </w:r>
    </w:p>
    <w:p>
      <w:pPr>
        <w:spacing w:after="100" w:line="252"/>
        <w:ind w:left="720" w:hanging="720"/>
        <w:jc w:val="both"/>
      </w:pPr>
      <w:r>
        <w:rPr>
          <w:rFonts w:ascii="Arial" w:cs="Arial" w:eastAsia="Arial" w:hAnsi="Arial"/>
          <w:sz w:val="20"/>
          <w:szCs w:val="20"/>
        </w:rPr>
        <w:t xml:space="preserve">Mishkin, F.S. (1992). Is the Fisher Effect for Real? A Reexamination of the Relationship Between Inflation and Interest Rates. Journal of Monetary Economics, 30(2), pp. 195–215.</w:t>
      </w:r>
    </w:p>
    <w:p>
      <w:pPr>
        <w:spacing w:after="100" w:line="252"/>
        <w:ind w:left="720" w:hanging="720"/>
        <w:jc w:val="both"/>
      </w:pPr>
      <w:r>
        <w:rPr>
          <w:rFonts w:ascii="Arial" w:cs="Arial" w:eastAsia="Arial" w:hAnsi="Arial"/>
          <w:sz w:val="20"/>
          <w:szCs w:val="20"/>
        </w:rPr>
        <w:t xml:space="preserve">Poghosyan, T. (2014). Long-Run and Short-Run Determinants of Sovereign Bond Yields in Advanced Economies. Economic Systems, 38(1), pp. 100–114.</w:t>
      </w:r>
    </w:p>
    <w:p>
      <w:pPr>
        <w:spacing w:after="100" w:line="252"/>
        <w:ind w:left="720" w:hanging="720"/>
        <w:jc w:val="both"/>
      </w:pPr>
      <w:r>
        <w:rPr>
          <w:rFonts w:ascii="Arial" w:cs="Arial" w:eastAsia="Arial" w:hAnsi="Arial"/>
          <w:sz w:val="20"/>
          <w:szCs w:val="20"/>
        </w:rPr>
        <w:t xml:space="preserve">Shinkarenko, V., Hostryk, A., Shynkarenko, L. and Dolinskyi, L. (2021). A Forecasting the Consumer Price Index Using Time Series Model. SHS Web of Conferences, 107, 10002. DOI: 10.1051/shsconf/202110710002.</w:t>
      </w:r>
    </w:p>
    <w:p>
      <w:pPr>
        <w:spacing w:after="100" w:line="252"/>
        <w:ind w:left="720" w:hanging="720"/>
        <w:jc w:val="both"/>
      </w:pPr>
      <w:r>
        <w:rPr>
          <w:rFonts w:ascii="Arial" w:cs="Arial" w:eastAsia="Arial" w:hAnsi="Arial"/>
          <w:sz w:val="20"/>
          <w:szCs w:val="20"/>
        </w:rPr>
        <w:t xml:space="preserve">Zhou, Z. (2025). ARIMA-Based Forecasting of US and Singapore Bond Yields (2019–Present). Proceedings of ICFTBA 2025 Symposium: Data-Driven Decision Making in Business and Economics. DOI: 10.54254/2754-1169/2025.BL29328.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80" w:after="10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2026-03-28T02:55:55.433Z</dcterms:created>
  <dcterms:modified xsi:type="dcterms:W3CDTF">2026-03-28T02:55:55.434Z</dcterms:modified>
</cp:coreProperties>
</file>

<file path=docProps/custom.xml><?xml version="1.0" encoding="utf-8"?>
<Properties xmlns="http://schemas.openxmlformats.org/officeDocument/2006/custom-properties" xmlns:vt="http://schemas.openxmlformats.org/officeDocument/2006/docPropsVTypes"/>
</file>