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B5E5E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EE1E1"/>
                <w:sz w:val="18"/>
              </w:rPr>
              <w:t>ASHAR URBAN FUTURES LAB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Archonet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BEE1E1"/>
                <w:sz w:val="20"/>
              </w:rPr>
              <w:t>Mahek Chheda, Ramyakant Desabattula, Viral Gala</w:t>
            </w:r>
          </w:p>
        </w:tc>
      </w:tr>
    </w:tbl>
    <w:p>
      <w:pPr>
        <w:spacing w:before="0" w:after="80"/>
      </w:pP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THESIS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 xml:space="preserve">Enterprise real estate feasibility in India is fragmented across consultants, architects, and legacy ERPs, forcing developers in land-scarce metros to take intuition-based decisions — Archonet targets </w:t>
      </w:r>
      <w:r>
        <w:rPr>
          <w:rFonts w:ascii="Calibri" w:hAnsi="Calibri"/>
          <w:b/>
          <w:i w:val="0"/>
          <w:color w:val="282828"/>
          <w:sz w:val="19"/>
        </w:rPr>
        <w:t>85,000+ active developers and 55,000+ architecture firms</w:t>
      </w:r>
      <w:r>
        <w:rPr>
          <w:rFonts w:ascii="Calibri" w:hAnsi="Calibri"/>
          <w:b w:val="0"/>
          <w:i w:val="0"/>
          <w:color w:val="282828"/>
          <w:sz w:val="19"/>
        </w:rPr>
        <w:t xml:space="preserve"> in India alone with an addressable opportunity of </w:t>
      </w:r>
      <w:r>
        <w:rPr>
          <w:rFonts w:ascii="Calibri" w:hAnsi="Calibri"/>
          <w:b/>
          <w:i w:val="0"/>
          <w:color w:val="282828"/>
          <w:sz w:val="19"/>
        </w:rPr>
        <w:t>₹14,000 Cr ($1.7Bn)</w:t>
      </w:r>
      <w:r>
        <w:rPr>
          <w:rFonts w:ascii="Calibri" w:hAnsi="Calibri"/>
          <w:b w:val="0"/>
          <w:i w:val="0"/>
          <w:color w:val="282828"/>
          <w:sz w:val="19"/>
        </w:rPr>
        <w:t xml:space="preserve">. Archonet's product suite (LandWise, FinWise, PlanWise, DealSpot) combines technical, financial, and design feasibility in one automated platform, supported by proprietary cadastral integration and 1.5 million calculations — a technical moat no point solution currently replicates. With </w:t>
      </w:r>
      <w:r>
        <w:rPr>
          <w:rFonts w:ascii="Calibri" w:hAnsi="Calibri"/>
          <w:b/>
          <w:i w:val="0"/>
          <w:color w:val="282828"/>
          <w:sz w:val="19"/>
        </w:rPr>
        <w:t>8 paying customers, 50+ platform pilots, and 100+ interactions</w:t>
      </w:r>
      <w:r>
        <w:rPr>
          <w:rFonts w:ascii="Calibri" w:hAnsi="Calibri"/>
          <w:b w:val="0"/>
          <w:i w:val="0"/>
          <w:color w:val="282828"/>
          <w:sz w:val="19"/>
        </w:rPr>
        <w:t xml:space="preserve"> in its first year of commercialisation, plus a product already in the hands of the Ashar team, the company is ready to be tested inside a live enterprise developer environment.</w:t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INVESTMENT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E3C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6"/>
              </w:rPr>
              <w:t>INDIA SAM</w:t>
            </w:r>
          </w:p>
        </w:tc>
        <w:tc>
          <w:tcPr>
            <w:tcW w:type="dxa" w:w="3324"/>
            <w:shd w:val="clear" w:color="auto" w:fill="EDE3C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6"/>
              </w:rPr>
              <w:t>PAYING CUSTOMERS (Y1)</w:t>
            </w:r>
          </w:p>
        </w:tc>
        <w:tc>
          <w:tcPr>
            <w:tcW w:type="dxa" w:w="3324"/>
            <w:shd w:val="clear" w:color="auto" w:fill="EDE3C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6"/>
              </w:rPr>
              <w:t>REVENUE TARGET (Y3)</w:t>
            </w:r>
          </w:p>
        </w:tc>
      </w:tr>
      <w:tr>
        <w:tc>
          <w:tcPr>
            <w:tcW w:type="dxa" w:w="3324"/>
            <w:shd w:val="clear" w:color="auto" w:fill="F5F1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32"/>
              </w:rPr>
              <w:t>$1.7Bn / ₹14,000 Cr</w:t>
            </w:r>
          </w:p>
        </w:tc>
        <w:tc>
          <w:tcPr>
            <w:tcW w:type="dxa" w:w="3324"/>
            <w:shd w:val="clear" w:color="auto" w:fill="F5F1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32"/>
              </w:rPr>
              <w:t>8 customers</w:t>
            </w:r>
          </w:p>
        </w:tc>
        <w:tc>
          <w:tcPr>
            <w:tcW w:type="dxa" w:w="3324"/>
            <w:shd w:val="clear" w:color="auto" w:fill="F5F1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32"/>
              </w:rPr>
              <w:t>₹100 Cr</w:t>
            </w:r>
          </w:p>
        </w:tc>
      </w:tr>
      <w:tr>
        <w:tc>
          <w:tcPr>
            <w:tcW w:type="dxa" w:w="3324"/>
            <w:shd w:val="clear" w:color="auto" w:fill="F5F1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786E64"/>
                <w:sz w:val="16"/>
              </w:rPr>
              <w:t>85K+ developers + 55K+ architecture firms; ₹10L avg. annual revenue per entity</w:t>
            </w:r>
          </w:p>
        </w:tc>
        <w:tc>
          <w:tcPr>
            <w:tcW w:type="dxa" w:w="3324"/>
            <w:shd w:val="clear" w:color="auto" w:fill="F5F1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786E64"/>
                <w:sz w:val="16"/>
              </w:rPr>
              <w:t>First year of paid customers; 50+ platform pilots, 100+ interactions</w:t>
            </w:r>
          </w:p>
        </w:tc>
        <w:tc>
          <w:tcPr>
            <w:tcW w:type="dxa" w:w="3324"/>
            <w:shd w:val="clear" w:color="auto" w:fill="F5F1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786E64"/>
                <w:sz w:val="16"/>
              </w:rPr>
              <w:t>500 customers @ ₹20L per entity by FY29; ₹5Cr raise for 12-month runway</w:t>
            </w:r>
          </w:p>
        </w:tc>
      </w:tr>
    </w:tbl>
    <w:p>
      <w:pPr>
        <w:spacing w:before="0" w:after="80"/>
      </w:pP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MARKET &amp; 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E3C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6"/>
              </w:rPr>
              <w:t>INDIA OPPORTUNITY</w:t>
            </w:r>
          </w:p>
        </w:tc>
        <w:tc>
          <w:tcPr>
            <w:tcW w:type="dxa" w:w="3324"/>
            <w:shd w:val="clear" w:color="auto" w:fill="EDE3C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6"/>
              </w:rPr>
              <w:t>GLOBAL OPPORTUNITY</w:t>
            </w:r>
          </w:p>
        </w:tc>
        <w:tc>
          <w:tcPr>
            <w:tcW w:type="dxa" w:w="3324"/>
            <w:shd w:val="clear" w:color="auto" w:fill="EDE3C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6"/>
              </w:rPr>
              <w:t>TRACTION PROOF</w:t>
            </w:r>
          </w:p>
        </w:tc>
      </w:tr>
      <w:tr>
        <w:tc>
          <w:tcPr>
            <w:tcW w:type="dxa" w:w="3324"/>
            <w:shd w:val="clear" w:color="auto" w:fill="F5F1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32"/>
              </w:rPr>
              <w:t>$1.7Bn / ₹14,000 Cr</w:t>
            </w:r>
          </w:p>
        </w:tc>
        <w:tc>
          <w:tcPr>
            <w:tcW w:type="dxa" w:w="3324"/>
            <w:shd w:val="clear" w:color="auto" w:fill="F5F1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32"/>
              </w:rPr>
              <w:t>$20Bn</w:t>
            </w:r>
          </w:p>
        </w:tc>
        <w:tc>
          <w:tcPr>
            <w:tcW w:type="dxa" w:w="3324"/>
            <w:shd w:val="clear" w:color="auto" w:fill="F5F1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32"/>
              </w:rPr>
              <w:t>8 paying customers; 50+ pilots</w:t>
            </w:r>
          </w:p>
        </w:tc>
      </w:tr>
      <w:tr>
        <w:tc>
          <w:tcPr>
            <w:tcW w:type="dxa" w:w="3324"/>
            <w:shd w:val="clear" w:color="auto" w:fill="F5F1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786E64"/>
                <w:sz w:val="16"/>
              </w:rPr>
              <w:t>85K+ active developers, 55K+ architecture firms; ₹10L avg. annual revenue per entity</w:t>
            </w:r>
          </w:p>
        </w:tc>
        <w:tc>
          <w:tcPr>
            <w:tcW w:type="dxa" w:w="3324"/>
            <w:shd w:val="clear" w:color="auto" w:fill="F5F1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786E64"/>
                <w:sz w:val="16"/>
              </w:rPr>
              <w:t>600K+ active developers, 400K+ architecture firms; $20K avg. annual revenue per entity</w:t>
            </w:r>
          </w:p>
        </w:tc>
        <w:tc>
          <w:tcPr>
            <w:tcW w:type="dxa" w:w="3324"/>
            <w:shd w:val="clear" w:color="auto" w:fill="F5F1E8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786E64"/>
                <w:sz w:val="16"/>
              </w:rPr>
              <w:t>First year of paid customers; 100+ interactions; product access live with Ashar team</w:t>
            </w:r>
          </w:p>
        </w:tc>
      </w:tr>
    </w:tbl>
    <w:p>
      <w:pPr>
        <w:spacing w:before="0" w:after="80"/>
      </w:pP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PRODUCT &amp; TRACTION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 xml:space="preserve">Archonet's platform addresses three sequential layers of real estate feasibility — technical, financial, and design — through four products. </w:t>
      </w:r>
      <w:r>
        <w:rPr>
          <w:rFonts w:ascii="Calibri" w:hAnsi="Calibri"/>
          <w:b/>
          <w:i w:val="0"/>
          <w:color w:val="282828"/>
          <w:sz w:val="19"/>
        </w:rPr>
        <w:t>LandWise</w:t>
      </w:r>
      <w:r>
        <w:rPr>
          <w:rFonts w:ascii="Calibri" w:hAnsi="Calibri"/>
          <w:b w:val="0"/>
          <w:i w:val="0"/>
          <w:color w:val="282828"/>
          <w:sz w:val="19"/>
        </w:rPr>
        <w:t xml:space="preserve"> (live, paying customers) is a land potential estimator covering all key Maharashtra regulations: DCPR 2034, UDCPR, and CDCPR, with inter-scheme combinations and cadastral data integration that the founders state no competitor has replicated. A developer enters plot parameters and receives FSI/built-up area statements, applicable scheme comparisons, and approval cost summaries in minutes. </w:t>
      </w:r>
      <w:r>
        <w:rPr>
          <w:rFonts w:ascii="Calibri" w:hAnsi="Calibri"/>
          <w:b/>
          <w:i w:val="0"/>
          <w:color w:val="282828"/>
          <w:sz w:val="19"/>
        </w:rPr>
        <w:t>FinWise</w:t>
      </w:r>
      <w:r>
        <w:rPr>
          <w:rFonts w:ascii="Calibri" w:hAnsi="Calibri"/>
          <w:b w:val="0"/>
          <w:i w:val="0"/>
          <w:color w:val="282828"/>
          <w:sz w:val="19"/>
        </w:rPr>
        <w:t xml:space="preserve"> (initial traction) is a project cash flow forecaster covering product mix, timelines, and return summaries. </w:t>
      </w:r>
      <w:r>
        <w:rPr>
          <w:rFonts w:ascii="Calibri" w:hAnsi="Calibri"/>
          <w:b/>
          <w:i w:val="0"/>
          <w:color w:val="282828"/>
          <w:sz w:val="19"/>
        </w:rPr>
        <w:t>PlanWise</w:t>
      </w:r>
      <w:r>
        <w:rPr>
          <w:rFonts w:ascii="Calibri" w:hAnsi="Calibri"/>
          <w:b w:val="0"/>
          <w:i w:val="0"/>
          <w:color w:val="282828"/>
          <w:sz w:val="19"/>
        </w:rPr>
        <w:t xml:space="preserve"> (under development; 9 months to PoC post-investment) will generate regulation-compliant 2D layouts and block massing. </w:t>
      </w:r>
      <w:r>
        <w:rPr>
          <w:rFonts w:ascii="Calibri" w:hAnsi="Calibri"/>
          <w:b/>
          <w:i w:val="0"/>
          <w:color w:val="282828"/>
          <w:sz w:val="19"/>
        </w:rPr>
        <w:t>DealSpot</w:t>
      </w:r>
      <w:r>
        <w:rPr>
          <w:rFonts w:ascii="Calibri" w:hAnsi="Calibri"/>
          <w:b w:val="0"/>
          <w:i w:val="0"/>
          <w:color w:val="282828"/>
          <w:sz w:val="19"/>
        </w:rPr>
        <w:t xml:space="preserve"> (beta) is a land acquisition hub for centralised deal pipeline management.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 xml:space="preserve">Pricing is per-entity annual subscription tiered at </w:t>
      </w:r>
      <w:r>
        <w:rPr>
          <w:rFonts w:ascii="Calibri" w:hAnsi="Calibri"/>
          <w:b/>
          <w:i w:val="0"/>
          <w:color w:val="282828"/>
          <w:sz w:val="19"/>
        </w:rPr>
        <w:t>₹15L/year (LandWise), ₹20L/year (LandWise Pro), and ₹40L/year (LandWise Pro + FinWise)</w:t>
      </w:r>
      <w:r>
        <w:rPr>
          <w:rFonts w:ascii="Calibri" w:hAnsi="Calibri"/>
          <w:b w:val="0"/>
          <w:i w:val="0"/>
          <w:color w:val="282828"/>
          <w:sz w:val="19"/>
        </w:rPr>
        <w:t xml:space="preserve"> for 100 projects. The company states it is currently </w:t>
      </w:r>
      <w:r>
        <w:rPr>
          <w:rFonts w:ascii="Calibri" w:hAnsi="Calibri"/>
          <w:b/>
          <w:i w:val="0"/>
          <w:color w:val="282828"/>
          <w:sz w:val="19"/>
        </w:rPr>
        <w:t>EBITDA positive</w:t>
      </w:r>
      <w:r>
        <w:rPr>
          <w:rFonts w:ascii="Calibri" w:hAnsi="Calibri"/>
          <w:b w:val="0"/>
          <w:i w:val="0"/>
          <w:color w:val="282828"/>
          <w:sz w:val="19"/>
        </w:rPr>
        <w:t xml:space="preserve">. CAC is described as negligible today, estimated at 15–20% of annual revenue in the next two years; payback is immediate on subscription; LTV is stated at </w:t>
      </w:r>
      <w:r>
        <w:rPr>
          <w:rFonts w:ascii="Calibri" w:hAnsi="Calibri"/>
          <w:b/>
          <w:i w:val="0"/>
          <w:color w:val="282828"/>
          <w:sz w:val="19"/>
        </w:rPr>
        <w:t>6× annual contract value</w:t>
      </w:r>
      <w:r>
        <w:rPr>
          <w:rFonts w:ascii="Calibri" w:hAnsi="Calibri"/>
          <w:b w:val="0"/>
          <w:i w:val="0"/>
          <w:color w:val="282828"/>
          <w:sz w:val="19"/>
        </w:rPr>
        <w:t>.</w:t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FOUNDER PROFILE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Mahek Chheda</w:t>
      </w:r>
      <w:r>
        <w:rPr>
          <w:rFonts w:ascii="Calibri" w:hAnsi="Calibri"/>
          <w:b w:val="0"/>
          <w:i w:val="0"/>
          <w:color w:val="282828"/>
          <w:sz w:val="19"/>
        </w:rPr>
        <w:t xml:space="preserve"> (CEO) — B.Arch, Sir JJ College of Architecture; MBA, IIM Calcutta; MRED+D, UC Berkeley; 10+ years spanning architecture, management consulting (Bain &amp; Co.), and private equity (Xander). Leads real estate market strategy, financial expertise, and regulatory intelligence; adaptive real estate research under review by Redwood City's planning department.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Ramyakant Desabattula</w:t>
      </w:r>
      <w:r>
        <w:rPr>
          <w:rFonts w:ascii="Calibri" w:hAnsi="Calibri"/>
          <w:b w:val="0"/>
          <w:i w:val="0"/>
          <w:color w:val="282828"/>
          <w:sz w:val="19"/>
        </w:rPr>
        <w:t xml:space="preserve"> (CTO) — B.Tech (Computer Science), IIT Madras; MBA, IIM Calcutta; 10+ years in technology, eCommerce, and product management at Amazon, Blibli.com, and Jumia across India, SEA, and Middle East. Built proprietary GenAI pipelines for real estate design and visualization; co-founded ZupperMeal (2015).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Viral Gala</w:t>
      </w:r>
      <w:r>
        <w:rPr>
          <w:rFonts w:ascii="Calibri" w:hAnsi="Calibri"/>
          <w:b w:val="0"/>
          <w:i w:val="0"/>
          <w:color w:val="282828"/>
          <w:sz w:val="19"/>
        </w:rPr>
        <w:t xml:space="preserve"> (COO) — B.Arch, Sir JJ College of Architecture; MBA, SIMSREE; 7+ years in architecture, interior design, and site execution at SRDA; licensed architect; Maativan project featured on ArchDaily (Building of the Year 2023 nomination); Iconic Galaxy, Colombo — Asia Pacific Property Awards 2021.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>Founder score: 9/10 — Rare IIT+IIM+UC Berkeley+JJCOA combination with lived experience across architecture, private equity (Xander/Bain), and global product leadership (Amazon/Jumia); all three founders are full-time directors with 30+ combined years of direct industry experience.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>Composite (team + traction + market): 8/10.</w:t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KEY RISKS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Financial data withheld until term-sheet alignment</w:t>
      </w:r>
      <w:r>
        <w:rPr>
          <w:rFonts w:ascii="Calibri" w:hAnsi="Calibri"/>
          <w:b w:val="0"/>
          <w:i w:val="0"/>
          <w:color w:val="282828"/>
          <w:sz w:val="19"/>
        </w:rPr>
        <w:t>: ARR, MRR, gross margins, burn rate, and customer names are not disclosed at this stage — the IC cannot independently verify the EBITDA-positive claim or validate pricing assumptions without audited figures.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8 paying customers in year one with no churn data</w:t>
      </w:r>
      <w:r>
        <w:rPr>
          <w:rFonts w:ascii="Calibri" w:hAnsi="Calibri"/>
          <w:b w:val="0"/>
          <w:i w:val="0"/>
          <w:color w:val="282828"/>
          <w:sz w:val="19"/>
        </w:rPr>
        <w:t>: The company deems retention metrics "not applicable" as it is still in its first year of paid customers, leaving renewal risk — the single biggest SaaS valuation driver — entirely unquantified.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Tech team is undersized for the product roadmap</w:t>
      </w:r>
      <w:r>
        <w:rPr>
          <w:rFonts w:ascii="Calibri" w:hAnsi="Calibri"/>
          <w:b w:val="0"/>
          <w:i w:val="0"/>
          <w:color w:val="282828"/>
          <w:sz w:val="19"/>
        </w:rPr>
        <w:t>: The founders acknowledge needing 4 additional tech hires within 6 months to deliver PlanWise (9 months to PoC) and expand geographically; failure to hire in a scarce architecture+AI talent pool could delay the ₹100 Cr FY29 target.</w:t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INVESTMENT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dxa" w:w="4986"/>
            <w:shd w:val="clear" w:color="auto" w:fill="1B5E5E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 1 — ₹5 Cr (stated ask)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12-month runway; LandWise scale across Maharashtra; FinWise upsell to existing customers; 4 tech hires onboarded</w:t>
            </w:r>
          </w:p>
        </w:tc>
      </w:tr>
      <w:tr>
        <w:tc>
          <w:tcPr>
            <w:tcW w:type="dxa" w:w="4986"/>
            <w:shd w:val="clear" w:color="auto" w:fill="1B5E5E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 2 — TBD</w:t>
            </w:r>
          </w:p>
        </w:tc>
        <w:tc>
          <w:tcPr>
            <w:tcW w:type="dxa" w:w="4986"/>
            <w:shd w:val="clear" w:color="auto" w:fill="F5F1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Entry into NCR and Bengaluru with LandWise/FinWise; PlanWise PoC completed</w:t>
            </w:r>
          </w:p>
        </w:tc>
      </w:tr>
      <w:tr>
        <w:tc>
          <w:tcPr>
            <w:tcW w:type="dxa" w:w="4986"/>
            <w:shd w:val="clear" w:color="auto" w:fill="1B5E5E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 3 — TBD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82828"/>
                <w:sz w:val="19"/>
              </w:rPr>
              <w:t>Scale to Hyderabad and other key cities; international expansion (US, UAE) initiated</w:t>
            </w:r>
          </w:p>
        </w:tc>
      </w:tr>
      <w:tr>
        <w:tc>
          <w:tcPr>
            <w:tcW w:type="dxa" w:w="4986"/>
            <w:shd w:val="clear" w:color="auto" w:fill="EDE3CF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TOTAL CHEQUE</w:t>
            </w:r>
          </w:p>
        </w:tc>
        <w:tc>
          <w:tcPr>
            <w:tcW w:type="dxa" w:w="4986"/>
            <w:shd w:val="clear" w:color="auto" w:fill="EDE3C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₹5 Cr minimum; full release contingent on financial due diligence completion</w:t>
            </w:r>
          </w:p>
        </w:tc>
      </w:tr>
      <w:tr>
        <w:tc>
          <w:tcPr>
            <w:tcW w:type="dxa" w:w="4986"/>
            <w:shd w:val="clear" w:color="auto" w:fill="EDE3CF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EQUITY</w:t>
            </w:r>
          </w:p>
        </w:tc>
        <w:tc>
          <w:tcPr>
            <w:tcW w:type="dxa" w:w="4986"/>
            <w:shd w:val="clear" w:color="auto" w:fill="EDE3C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282828"/>
                <w:sz w:val="19"/>
              </w:rPr>
              <w:t>100% founder-held cap table; no ESOP pool created yet; specific equity % not disclosed in input</w:t>
            </w:r>
          </w:p>
        </w:tc>
      </w:tr>
    </w:tbl>
    <w:p>
      <w:pPr>
        <w:spacing w:before="0" w:after="80"/>
      </w:pP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WHY THIS COULD WIN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Cadastral integration and 1.5 million calculations</w:t>
      </w:r>
      <w:r>
        <w:rPr>
          <w:rFonts w:ascii="Calibri" w:hAnsi="Calibri"/>
          <w:b w:val="0"/>
          <w:i w:val="0"/>
          <w:color w:val="282828"/>
          <w:sz w:val="19"/>
        </w:rPr>
        <w:t xml:space="preserve"> form a proprietary technical moat that the founders state no competitor has replicated in 12–24 months, covering all Maharashtra regulatory regimes (DCPR 2034, UDCPR, CDCPR) with inter-scheme combinations.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Global market analogues exist and are funded</w:t>
      </w:r>
      <w:r>
        <w:rPr>
          <w:rFonts w:ascii="Calibri" w:hAnsi="Calibri"/>
          <w:b w:val="0"/>
          <w:i w:val="0"/>
          <w:color w:val="282828"/>
          <w:sz w:val="19"/>
        </w:rPr>
        <w:t>: Testfit (US) and Archistar (Australia) operate in the same automated feasibility space — validating enterprise willingness to pay for this category — while Archonet targets the underpenetrated Indian and UAE markets with local regulatory depth neither competitor has.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Berkeley Skydeck (Pad 13) alumni</w:t>
      </w:r>
      <w:r>
        <w:rPr>
          <w:rFonts w:ascii="Calibri" w:hAnsi="Calibri"/>
          <w:b w:val="0"/>
          <w:i w:val="0"/>
          <w:color w:val="282828"/>
          <w:sz w:val="19"/>
        </w:rPr>
        <w:t xml:space="preserve"> and </w:t>
      </w:r>
      <w:r>
        <w:rPr>
          <w:rFonts w:ascii="Calibri" w:hAnsi="Calibri"/>
          <w:b/>
          <w:i w:val="0"/>
          <w:color w:val="282828"/>
          <w:sz w:val="19"/>
        </w:rPr>
        <w:t>ULI Hines Americas finalist</w:t>
      </w:r>
      <w:r>
        <w:rPr>
          <w:rFonts w:ascii="Calibri" w:hAnsi="Calibri"/>
          <w:b w:val="0"/>
          <w:i w:val="0"/>
          <w:color w:val="282828"/>
          <w:sz w:val="19"/>
        </w:rPr>
        <w:t xml:space="preserve"> status provide institutional validation and international deal network access that early-stage Indian PropTech competitors are unlikely to match.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Best Product Demo award at RealtyNXT ICTDD 25</w:t>
      </w:r>
      <w:r>
        <w:rPr>
          <w:rFonts w:ascii="Calibri" w:hAnsi="Calibri"/>
          <w:b w:val="0"/>
          <w:i w:val="0"/>
          <w:color w:val="282828"/>
          <w:sz w:val="19"/>
        </w:rPr>
        <w:t xml:space="preserve"> and ArchDaily/Asia Pacific Property Awards recognition demonstrate both product quality and design credibility with the precise customer segment (developers, architects) Archonet is targeting.</w:t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OPEN QUESTIONS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What is the current ARR and who are the 8 paying customers?</w:t>
      </w:r>
      <w:r>
        <w:rPr>
          <w:rFonts w:ascii="Calibri" w:hAnsi="Calibri"/>
          <w:b w:val="0"/>
          <w:i w:val="0"/>
          <w:color w:val="282828"/>
          <w:sz w:val="19"/>
        </w:rPr>
        <w:t xml:space="preserve"> — The founders have withheld all revenue figures, customer names, and financial statements pending term-sheet alignment; the IC cannot size the opportunity or verify EBITDA-positive status without this data.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What equity is Archonet offering for the ₹5 Cr raise, and what is the pre-money valuation?</w:t>
      </w:r>
      <w:r>
        <w:rPr>
          <w:rFonts w:ascii="Calibri" w:hAnsi="Calibri"/>
          <w:b w:val="0"/>
          <w:i w:val="0"/>
          <w:color w:val="282828"/>
          <w:sz w:val="19"/>
        </w:rPr>
        <w:t xml:space="preserve"> — No valuation or cap table split is disclosed; without this, UFL cannot model its stake or MOIC.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What is the specific ESOP plan and timeline?</w:t>
      </w:r>
      <w:r>
        <w:rPr>
          <w:rFonts w:ascii="Calibri" w:hAnsi="Calibri"/>
          <w:b w:val="0"/>
          <w:i w:val="0"/>
          <w:color w:val="282828"/>
          <w:sz w:val="19"/>
        </w:rPr>
        <w:t xml:space="preserve"> — No ESOP pool exists; with a stated need for 4+ critical tech hires in 6 months, the absence of an equity incentive structure is a material retention risk that must be resolved before a term sheet.</w:t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CATALYSTS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PlanWise PoC is 9 months post-investment</w:t>
      </w:r>
      <w:r>
        <w:rPr>
          <w:rFonts w:ascii="Calibri" w:hAnsi="Calibri"/>
          <w:b w:val="0"/>
          <w:i w:val="0"/>
          <w:color w:val="282828"/>
          <w:sz w:val="19"/>
        </w:rPr>
        <w:t>: Completion would transform Archonet from a two-product company into a full end-to-end feasibility suite, materially expanding TAM penetration and average contract value.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Maharashtra map coverage completion</w:t>
      </w:r>
      <w:r>
        <w:rPr>
          <w:rFonts w:ascii="Calibri" w:hAnsi="Calibri"/>
          <w:b w:val="0"/>
          <w:i w:val="0"/>
          <w:color w:val="282828"/>
          <w:sz w:val="19"/>
        </w:rPr>
        <w:t xml:space="preserve"> (stated roadmap item): Full-state cadastral coverage would close the primary product gap relative to competitors and enable the 50-customer → 160-customer step-up in the Y1→Y2 business plan.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82828"/>
          <w:sz w:val="19"/>
        </w:rPr>
        <w:t>NCR and Bengaluru market entry in 2027</w:t>
      </w:r>
      <w:r>
        <w:rPr>
          <w:rFonts w:ascii="Calibri" w:hAnsi="Calibri"/>
          <w:b w:val="0"/>
          <w:i w:val="0"/>
          <w:color w:val="282828"/>
          <w:sz w:val="19"/>
        </w:rPr>
        <w:t>: First signed enterprise customer outside MMR would validate the geographic replication thesis and de-risk the ₹100 Cr FY29 revenue target.</w:t>
      </w:r>
    </w:p>
    <w:p>
      <w:r>
        <w:br w:type="page"/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REVENUE PROJECTION</w:t>
      </w:r>
    </w:p>
    <w:p>
      <w:r>
        <w:drawing>
          <wp:inline xmlns:a="http://schemas.openxmlformats.org/drawingml/2006/main" xmlns:pic="http://schemas.openxmlformats.org/drawingml/2006/picture">
            <wp:extent cx="5303520" cy="2695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HOW WE ARRIVED AT THESE NUMBERS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>Revenue model: per-entity annual subscriptions priced at ₹15L–₹40L per entity per year (tiered by product bundle, for 100 projects), with the founders projecting 50 customers @ ₹5L average in Y1, 160 customers @ ₹12.5L average in Y2, and 500 customers @ ₹20L average in Y3 to reach ₹100 Cr net revenue by FY29. Volume scales through geographic expansion (Maharashtra → NCR/Bengaluru → Hyderabad) and upsell from LandWise to LandWise Pro + FinWise bundles, with CAC estimated at 15–20% of annual revenue in years 2–3 and LTV at 6× annual contract value.</w:t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VALUATION METHOD</w:t>
      </w:r>
    </w:p>
    <w:p>
      <w:pPr>
        <w:spacing w:after="40"/>
      </w:pPr>
      <w:r>
        <w:rPr>
          <w:rFonts w:ascii="Calibri" w:hAnsi="Calibri"/>
          <w:b/>
          <w:i w:val="0"/>
          <w:color w:val="282828"/>
          <w:sz w:val="19"/>
        </w:rPr>
        <w:t>7.5× revenue (early-stage enterprise SaaS / PropTech comparable — Testfit, Archistar)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>Conservative: 60 Cr — 300 customers × ₹20L average ACV. 7.5× = 450 Cr. Gated by slower enterprise adoption and geographic expansion delays.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>Base: 100 Cr — 500 customers × ₹20L average ACV. 7.5× = 750 Cr. Primary driver is Maharashtra saturation plus NCR/Bengaluru entry as stated in go-to-market plan.</w:t>
      </w:r>
    </w:p>
    <w:p>
      <w:pPr>
        <w:spacing w:after="40"/>
      </w:pPr>
      <w:r>
        <w:rPr>
          <w:rFonts w:ascii="Calibri" w:hAnsi="Calibri"/>
          <w:b w:val="0"/>
          <w:i w:val="0"/>
          <w:color w:val="282828"/>
          <w:sz w:val="19"/>
        </w:rPr>
        <w:t>Optimistic: 140 Cr — 700 customers × ₹20L average ACV. 7.5× = 1050 Cr. Upside from UAE/US expansion and PlanWise premium bundle adoption ahead of schedule.</w:t>
      </w:r>
    </w:p>
    <w:p>
      <w:pPr>
        <w:spacing w:before="160" w:after="60"/>
        <w:pBdr>
          <w:bottom w:val="single" w:sz="4" w:space="4" w:color="1B5E5E"/>
        </w:pBdr>
      </w:pPr>
      <w:r>
        <w:rPr>
          <w:rFonts w:ascii="Calibri" w:hAnsi="Calibri"/>
          <w:b/>
          <w:i w:val="0"/>
          <w:color w:val="1B5E5E"/>
          <w:sz w:val="22"/>
        </w:rPr>
        <w:t>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986"/>
            <w:shd w:val="clear" w:color="auto" w:fill="1B5E5E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IC Decision?</w:t>
            </w:r>
          </w:p>
        </w:tc>
        <w:tc>
          <w:tcPr>
            <w:tcW w:type="dxa" w:w="4986"/>
            <w:shd w:val="clear" w:color="auto" w:fill="1B5E5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CONDITIONAL YES. Studio Pick. Archonet presents one of the strongest founding teams in UFL Cohort 1 2026 — an IIT+IIM+UC Berkeley+JJCOA combination with private equity, global product, and licensed architecture pedigree, building in a validated global category (Testfit, Archistar) with a clear local regulatory moat. The single non-negotiable condition before a term sheet: Archonet must share audited or CA-certified revenue figures, the 8 customer names with contract values, and a proposed valuation/equity split — the current posture of withholding all financial data until "term-sheet alignment" is structurally backwards for an IC decision. Immediate next step: schedule a 60-minute financial due diligence call with all three founders and request the pitch deck, P&amp;L, and cap table within 5 business days. ::highlight:: UFL stake at Base (Y3): ₹750 Cr × equity % (undisclosed) = stake TBD pending valuation disclosure → MOIC on ₹5 Cr investment cannot be computed until Archonet discloses pre-money valuation and equity offered.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rFonts w:ascii="Calibri" w:hAnsi="Calibri"/>
          <w:b/>
          <w:i/>
          <w:color w:val="B41E1E"/>
          <w:sz w:val="19"/>
        </w:rPr>
        <w:t>Risks: All financial data withheld — EBITDA-positive claim unverified; 8 customers in year one with zero churn data — renewal risk unquantified; tech team undersized (4 critical hires needed in 6 months) — PlanWise and geographic expansion timelines at risk.</w:t>
      </w:r>
    </w:p>
    <w:p>
      <w:pPr>
        <w:spacing w:before="200"/>
        <w:jc w:val="center"/>
      </w:pPr>
      <w:r>
        <w:rPr>
          <w:rFonts w:ascii="Calibri" w:hAnsi="Calibri"/>
          <w:b w:val="0"/>
          <w:i w:val="0"/>
          <w:color w:val="786E64"/>
          <w:sz w:val="16"/>
        </w:rPr>
        <w:t>Ashar Urban Futures Lab  ·  Internal Use Only  ·  29 June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