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7111F"/>
            <w:tcBorders>
              <w:top w:val="single" w:sz="10" w:space="0" w:color="29415D"/>
              <w:left w:val="single" w:sz="10" w:space="0" w:color="29415D"/>
              <w:bottom w:val="single" w:sz="10" w:space="0" w:color="29415D"/>
              <w:right w:val="single" w:sz="10" w:space="0" w:color="29415D"/>
            </w:tcBorders>
          </w:tcPr>
          <w:p>
            <w:r>
              <w:rPr>
                <w:rFonts w:ascii="Aptos" w:hAnsi="Aptos"/>
                <w:b/>
                <w:i w:val="0"/>
                <w:color w:val="67E8F9"/>
                <w:sz w:val="18"/>
              </w:rPr>
              <w:t>AHA AUTOMOTIVE / PRESENTATION SPEAKING NOTES</w:t>
            </w:r>
          </w:p>
          <w:p>
            <w:r>
              <w:rPr>
                <w:rFonts w:ascii="Aptos Display" w:hAnsi="Aptos Display"/>
                <w:b/>
                <w:i w:val="0"/>
                <w:color w:val="F8FAFC"/>
                <w:sz w:val="46"/>
              </w:rPr>
              <w:t>What to Explain During the Practice School Presentation</w:t>
            </w:r>
          </w:p>
          <w:p>
            <w:r>
              <w:rPr>
                <w:rFonts w:ascii="Aptos" w:hAnsi="Aptos"/>
                <w:b/>
                <w:i w:val="0"/>
                <w:color w:val="D9E7FF"/>
                <w:sz w:val="20"/>
              </w:rPr>
              <w:t>Aaryan Kansal | 2024A2PS1033H | BITS Pilani Practice School</w:t>
            </w:r>
          </w:p>
        </w:tc>
      </w:tr>
    </w:tbl>
    <w:p>
      <w:pPr>
        <w:spacing w:before="0" w:after="120" w:line="269" w:lineRule="auto"/>
      </w:pP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How to use this document</w:t>
            </w:r>
          </w:p>
          <w:p>
            <w:r>
              <w:rPr>
                <w:rFonts w:ascii="Aptos" w:hAnsi="Aptos"/>
                <w:b w:val="0"/>
                <w:i w:val="0"/>
                <w:color w:val="111827"/>
                <w:sz w:val="21"/>
              </w:rPr>
              <w:t>Read the 'Say this' paragraph before each slide. Use the bullets under 'If asked, explain' only when sir asks for technical detail. The code blocks are backup lines for implementation questions.</w:t>
            </w:r>
          </w:p>
        </w:tc>
      </w:tr>
    </w:tbl>
    <w:p>
      <w:pPr>
        <w:spacing w:before="0" w:after="40" w:line="269" w:lineRule="auto"/>
      </w:pPr>
    </w:p>
    <w:p>
      <w:pPr>
        <w:spacing w:before="280" w:after="100" w:line="269" w:lineRule="auto"/>
      </w:pPr>
      <w:r>
        <w:rPr>
          <w:rFonts w:ascii="Aptos" w:hAnsi="Aptos"/>
          <w:b/>
          <w:i w:val="0"/>
          <w:color w:val="07111F"/>
          <w:sz w:val="34"/>
        </w:rPr>
        <w:t>30-second opening</w:t>
      </w:r>
    </w:p>
    <w:p>
      <w:pPr>
        <w:spacing w:before="0" w:after="120" w:line="269" w:lineRule="auto"/>
      </w:pPr>
      <w:r>
        <w:rPr>
          <w:rFonts w:ascii="Aptos" w:hAnsi="Aptos"/>
          <w:b w:val="0"/>
          <w:i w:val="0"/>
          <w:color w:val="111827"/>
          <w:sz w:val="21"/>
        </w:rPr>
        <w:t>Good morning sir. I am Aaryan Kansal, ID 2024A2PS1033H. My Practice School project for AHA Automotive focused on converting a basic web presence into a complete digital marketing funnel for NexCruise. The final system includes a premium Streamlit Compatibility OS, a React/Vite landing funnel, lead capture, WhatsApp routing, Meta and Google conversion tracking, and first-party dashboard integration.</w:t>
      </w:r>
    </w:p>
    <w:p>
      <w:pPr>
        <w:spacing w:before="280" w:after="100" w:line="269" w:lineRule="auto"/>
      </w:pPr>
      <w:r>
        <w:rPr>
          <w:rFonts w:ascii="Aptos" w:hAnsi="Aptos"/>
          <w:b/>
          <w:i w:val="0"/>
          <w:color w:val="07111F"/>
          <w:sz w:val="34"/>
        </w:rPr>
        <w:t>1-minute project summary</w:t>
      </w:r>
    </w:p>
    <w:p>
      <w:pPr>
        <w:spacing w:before="0" w:after="120" w:line="269" w:lineRule="auto"/>
      </w:pPr>
      <w:r>
        <w:rPr>
          <w:rFonts w:ascii="Aptos" w:hAnsi="Aptos"/>
          <w:b w:val="0"/>
          <w:i w:val="0"/>
          <w:color w:val="111827"/>
          <w:sz w:val="21"/>
        </w:rPr>
        <w:t>The main idea is simple: traffic comes from Meta, Instagram, WhatsApp, Google, or direct sources. The website preserves that source through UTM parameters, shows a premium brand-specific car experience, allows the user to check compatibility, and then captures a callback or WhatsApp lead. Every important action is tracked so AHA Automotive can retarget users and understand funnel drop-off.</w:t>
      </w:r>
    </w:p>
    <w:p>
      <w:pPr>
        <w:spacing w:before="280" w:after="100" w:line="269" w:lineRule="auto"/>
      </w:pPr>
      <w:r>
        <w:rPr>
          <w:rFonts w:ascii="Aptos" w:hAnsi="Aptos"/>
          <w:b/>
          <w:i w:val="0"/>
          <w:color w:val="07111F"/>
          <w:sz w:val="34"/>
        </w:rPr>
        <w:t>Slide-by-slide speaking script</w:t>
      </w:r>
    </w:p>
    <w:p>
      <w:pPr>
        <w:spacing w:before="200" w:after="80" w:line="269" w:lineRule="auto"/>
      </w:pPr>
      <w:r>
        <w:rPr>
          <w:rFonts w:ascii="Aptos" w:hAnsi="Aptos"/>
          <w:b/>
          <w:i w:val="0"/>
          <w:color w:val="123C69"/>
          <w:sz w:val="27"/>
        </w:rPr>
        <w:t>Slide 1: Cover</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Good morning sir. I am Aaryan Kansal, ID 2024A2PS1033H. My Practice School project was for AHA Automotive, around the NexCruise product. The final work is not just a website redesign. It is a complete digital funnel: user lands from Meta or WhatsApp, understands the product, checks car compatibility, submits a lead or goes to WhatsApp, and the event is available for retargeting and dashboard analysis.</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Use the phrase: conversion system, not static website.</w:t>
      </w:r>
    </w:p>
    <w:p>
      <w:pPr>
        <w:spacing w:after="60"/>
        <w:ind w:left="360" w:hanging="202"/>
      </w:pPr>
      <w:r>
        <w:rPr>
          <w:rFonts w:ascii="Aptos" w:hAnsi="Aptos"/>
          <w:b/>
          <w:i w:val="0"/>
          <w:color w:val="67E8F9"/>
          <w:sz w:val="21"/>
        </w:rPr>
        <w:t xml:space="preserve">• </w:t>
      </w:r>
      <w:r>
        <w:rPr>
          <w:rFonts w:ascii="Aptos" w:hAnsi="Aptos"/>
          <w:b w:val="0"/>
          <w:i w:val="0"/>
          <w:color w:val="111827"/>
          <w:sz w:val="21"/>
        </w:rPr>
        <w:t>Mention AHA Automotive instead of AHA Automobiles if asked about naming.</w:t>
      </w:r>
    </w:p>
    <w:p>
      <w:pPr>
        <w:spacing w:after="60"/>
        <w:ind w:left="360" w:hanging="202"/>
      </w:pPr>
      <w:r>
        <w:rPr>
          <w:rFonts w:ascii="Aptos" w:hAnsi="Aptos"/>
          <w:b/>
          <w:i w:val="0"/>
          <w:color w:val="67E8F9"/>
          <w:sz w:val="21"/>
        </w:rPr>
        <w:t xml:space="preserve">• </w:t>
      </w:r>
      <w:r>
        <w:rPr>
          <w:rFonts w:ascii="Aptos" w:hAnsi="Aptos"/>
          <w:b w:val="0"/>
          <w:i w:val="0"/>
          <w:color w:val="111827"/>
          <w:sz w:val="21"/>
        </w:rPr>
        <w:t>Say NexCruise is positioned as a smart automobile upgrade focused on cruise comfort and long-drive convenience.</w:t>
      </w:r>
    </w:p>
    <w:p>
      <w:pPr>
        <w:spacing w:before="200" w:after="80" w:line="269" w:lineRule="auto"/>
      </w:pPr>
      <w:r>
        <w:rPr>
          <w:rFonts w:ascii="Aptos" w:hAnsi="Aptos"/>
          <w:b/>
          <w:i w:val="0"/>
          <w:color w:val="123C69"/>
          <w:sz w:val="27"/>
        </w:rPr>
        <w:t>Slide 2: Executive Snapshot</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The project had four major outcomes. First, a React/Vite landing funnel deployable on Cloudflare. Second, a Streamlit Compatibility OS, which became the final premium UI direction. Third, a marketing dashboard connection for leads and first-party path events. Fourth, tracking integrations for Meta Pixel, Google Ads conversion, UTM attribution, and retargeting.</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Design work: changed the UI from basic colors to dark premium glass panels.</w:t>
      </w:r>
    </w:p>
    <w:p>
      <w:pPr>
        <w:spacing w:after="60"/>
        <w:ind w:left="360" w:hanging="202"/>
      </w:pPr>
      <w:r>
        <w:rPr>
          <w:rFonts w:ascii="Aptos" w:hAnsi="Aptos"/>
          <w:b/>
          <w:i w:val="0"/>
          <w:color w:val="67E8F9"/>
          <w:sz w:val="21"/>
        </w:rPr>
        <w:t xml:space="preserve">• </w:t>
      </w:r>
      <w:r>
        <w:rPr>
          <w:rFonts w:ascii="Aptos" w:hAnsi="Aptos"/>
          <w:b w:val="0"/>
          <w:i w:val="0"/>
          <w:color w:val="111827"/>
          <w:sz w:val="21"/>
        </w:rPr>
        <w:t>Engineering work: connected forms, event tracking, state-driven car selection, and deployment paths.</w:t>
      </w:r>
    </w:p>
    <w:p>
      <w:pPr>
        <w:spacing w:after="60"/>
        <w:ind w:left="360" w:hanging="202"/>
      </w:pPr>
      <w:r>
        <w:rPr>
          <w:rFonts w:ascii="Aptos" w:hAnsi="Aptos"/>
          <w:b/>
          <w:i w:val="0"/>
          <w:color w:val="67E8F9"/>
          <w:sz w:val="21"/>
        </w:rPr>
        <w:t xml:space="preserve">• </w:t>
      </w:r>
      <w:r>
        <w:rPr>
          <w:rFonts w:ascii="Aptos" w:hAnsi="Aptos"/>
          <w:b w:val="0"/>
          <w:i w:val="0"/>
          <w:color w:val="111827"/>
          <w:sz w:val="21"/>
        </w:rPr>
        <w:t>Marketing work: mapped user actions to retargeting and funnel analytics.</w:t>
      </w:r>
    </w:p>
    <w:p>
      <w:pPr>
        <w:spacing w:before="200" w:after="80" w:line="269" w:lineRule="auto"/>
      </w:pPr>
      <w:r>
        <w:rPr>
          <w:rFonts w:ascii="Aptos" w:hAnsi="Aptos"/>
          <w:b/>
          <w:i w:val="0"/>
          <w:color w:val="123C69"/>
          <w:sz w:val="27"/>
        </w:rPr>
        <w:t>Slide 3: Two Websites + One Dashboard</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There are two website surfaces and one dashboard. The React/Vite website is the public landing page for campaigns. The Streamlit UI is the final demo and compatibility workspace. The digital marketing dashboard is separate; it shows leads, attribution, path drop-off, and campaign metrics.</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If sir asks why two websites exist: React is easier for static public hosting; Streamlit is faster for interactive dashboard-style demo work.</w:t>
      </w:r>
    </w:p>
    <w:p>
      <w:pPr>
        <w:spacing w:after="60"/>
        <w:ind w:left="360" w:hanging="202"/>
      </w:pPr>
      <w:r>
        <w:rPr>
          <w:rFonts w:ascii="Aptos" w:hAnsi="Aptos"/>
          <w:b/>
          <w:i w:val="0"/>
          <w:color w:val="67E8F9"/>
          <w:sz w:val="21"/>
        </w:rPr>
        <w:t xml:space="preserve">• </w:t>
      </w:r>
      <w:r>
        <w:rPr>
          <w:rFonts w:ascii="Aptos" w:hAnsi="Aptos"/>
          <w:b w:val="0"/>
          <w:i w:val="0"/>
          <w:color w:val="111827"/>
          <w:sz w:val="21"/>
        </w:rPr>
        <w:t>The dashboard repo is digital_marketing-master and has the /api/track/event endpoint.</w:t>
      </w:r>
    </w:p>
    <w:p>
      <w:pPr>
        <w:spacing w:after="60"/>
        <w:ind w:left="360" w:hanging="202"/>
      </w:pPr>
      <w:r>
        <w:rPr>
          <w:rFonts w:ascii="Aptos" w:hAnsi="Aptos"/>
          <w:b/>
          <w:i w:val="0"/>
          <w:color w:val="67E8F9"/>
          <w:sz w:val="21"/>
        </w:rPr>
        <w:t xml:space="preserve">• </w:t>
      </w:r>
      <w:r>
        <w:rPr>
          <w:rFonts w:ascii="Aptos" w:hAnsi="Aptos"/>
          <w:b w:val="0"/>
          <w:i w:val="0"/>
          <w:color w:val="111827"/>
          <w:sz w:val="21"/>
        </w:rPr>
        <w:t>The landing repo is ahalandingpage and now sends first-party tracking events to the dashboard endpoint.</w:t>
      </w:r>
    </w:p>
    <w:p>
      <w:pPr>
        <w:spacing w:before="200" w:after="80" w:line="269" w:lineRule="auto"/>
      </w:pPr>
      <w:r>
        <w:rPr>
          <w:rFonts w:ascii="Aptos" w:hAnsi="Aptos"/>
          <w:b/>
          <w:i w:val="0"/>
          <w:color w:val="123C69"/>
          <w:sz w:val="27"/>
        </w:rPr>
        <w:t>Slide 4: Funnel Architecture</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The funnel begins with Meta, Instagram, WhatsApp, Google, or direct traffic. The landing page reads UTM parameters, keeps source context, and adapts the user journey. The user selects a brand, checks compatibility, submits a callback, or clicks WhatsApp. These actions become events for Meta retargeting, Google Ads conversion, and the internal dashboard.</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UTM means campaign source details in the URL, such as utm_source, utm_medium, and utm_campaign.</w:t>
      </w:r>
    </w:p>
    <w:p>
      <w:pPr>
        <w:spacing w:after="60"/>
        <w:ind w:left="360" w:hanging="202"/>
      </w:pPr>
      <w:r>
        <w:rPr>
          <w:rFonts w:ascii="Aptos" w:hAnsi="Aptos"/>
          <w:b/>
          <w:i w:val="0"/>
          <w:color w:val="67E8F9"/>
          <w:sz w:val="21"/>
        </w:rPr>
        <w:t xml:space="preserve">• </w:t>
      </w:r>
      <w:r>
        <w:rPr>
          <w:rFonts w:ascii="Aptos" w:hAnsi="Aptos"/>
          <w:b w:val="0"/>
          <w:i w:val="0"/>
          <w:color w:val="111827"/>
          <w:sz w:val="21"/>
        </w:rPr>
        <w:t>The purpose is to avoid losing attribution between ad click and lead submission.</w:t>
      </w:r>
    </w:p>
    <w:p>
      <w:pPr>
        <w:spacing w:after="60"/>
        <w:ind w:left="360" w:hanging="202"/>
      </w:pPr>
      <w:r>
        <w:rPr>
          <w:rFonts w:ascii="Aptos" w:hAnsi="Aptos"/>
          <w:b/>
          <w:i w:val="0"/>
          <w:color w:val="67E8F9"/>
          <w:sz w:val="21"/>
        </w:rPr>
        <w:t xml:space="preserve">• </w:t>
      </w:r>
      <w:r>
        <w:rPr>
          <w:rFonts w:ascii="Aptos" w:hAnsi="Aptos"/>
          <w:b w:val="0"/>
          <w:i w:val="0"/>
          <w:color w:val="111827"/>
          <w:sz w:val="21"/>
        </w:rPr>
        <w:t>This is why the page behaves like a marketing funnel rather than a brochure.</w:t>
      </w:r>
    </w:p>
    <w:p>
      <w:pPr>
        <w:spacing w:before="200" w:after="80" w:line="269" w:lineRule="auto"/>
      </w:pPr>
      <w:r>
        <w:rPr>
          <w:rFonts w:ascii="Aptos" w:hAnsi="Aptos"/>
          <w:b/>
          <w:i w:val="0"/>
          <w:color w:val="123C69"/>
          <w:sz w:val="27"/>
        </w:rPr>
        <w:t>Slide 5: Streamlit Compatibility OS</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The Streamlit interface became the main direction because it looks and behaves more like a premium automotive-tech workspace. It uses dark panels, large headings, dynamic vehicle display, fitment assistant cards, and callback capture. The page also adapts to campaign source, so a Meta visitor and direct visitor can receive different contextual copy.</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Mention the visual upgrades: removed boring flat colors, added glass panel aesthetic, better spacing, and premium dark palette.</w:t>
      </w:r>
    </w:p>
    <w:p>
      <w:pPr>
        <w:spacing w:after="60"/>
        <w:ind w:left="360" w:hanging="202"/>
      </w:pPr>
      <w:r>
        <w:rPr>
          <w:rFonts w:ascii="Aptos" w:hAnsi="Aptos"/>
          <w:b/>
          <w:i w:val="0"/>
          <w:color w:val="67E8F9"/>
          <w:sz w:val="21"/>
        </w:rPr>
        <w:t xml:space="preserve">• </w:t>
      </w:r>
      <w:r>
        <w:rPr>
          <w:rFonts w:ascii="Aptos" w:hAnsi="Aptos"/>
          <w:b w:val="0"/>
          <w:i w:val="0"/>
          <w:color w:val="111827"/>
          <w:sz w:val="21"/>
        </w:rPr>
        <w:t>Mention the business reason: a premium UI improves trust for a car upgrade product.</w:t>
      </w:r>
    </w:p>
    <w:p>
      <w:pPr>
        <w:spacing w:after="60"/>
        <w:ind w:left="360" w:hanging="202"/>
      </w:pPr>
      <w:r>
        <w:rPr>
          <w:rFonts w:ascii="Aptos" w:hAnsi="Aptos"/>
          <w:b/>
          <w:i w:val="0"/>
          <w:color w:val="67E8F9"/>
          <w:sz w:val="21"/>
        </w:rPr>
        <w:t xml:space="preserve">• </w:t>
      </w:r>
      <w:r>
        <w:rPr>
          <w:rFonts w:ascii="Aptos" w:hAnsi="Aptos"/>
          <w:b w:val="0"/>
          <w:i w:val="0"/>
          <w:color w:val="111827"/>
          <w:sz w:val="21"/>
        </w:rPr>
        <w:t>Mention the technical reason: Streamlit allowed fast iteration of compatibility logic and dashboard-like interactions.</w:t>
      </w:r>
    </w:p>
    <w:p>
      <w:pPr>
        <w:spacing w:before="200" w:after="80" w:line="269" w:lineRule="auto"/>
      </w:pPr>
      <w:r>
        <w:rPr>
          <w:rFonts w:ascii="Aptos" w:hAnsi="Aptos"/>
          <w:b/>
          <w:i w:val="0"/>
          <w:color w:val="123C69"/>
          <w:sz w:val="27"/>
        </w:rPr>
        <w:t>Slide 6: Dynamic Brand + 3D Vehicle Experience</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The site is dynamic by brand and model. AHA Automotive branding stays constant, but model list, compatibility text, assistant cards, and vehicle visuals update. For Tata, the key models included Nexon, Punch, and Safari. I also fixed model mismatch issues where selecting Safari or Punch could show the wrong car in another panel.</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If asked about the bug: the selected model state and visual-rendered model were not synchronized across panels.</w:t>
      </w:r>
    </w:p>
    <w:p>
      <w:pPr>
        <w:spacing w:after="60"/>
        <w:ind w:left="360" w:hanging="202"/>
      </w:pPr>
      <w:r>
        <w:rPr>
          <w:rFonts w:ascii="Aptos" w:hAnsi="Aptos"/>
          <w:b/>
          <w:i w:val="0"/>
          <w:color w:val="67E8F9"/>
          <w:sz w:val="21"/>
        </w:rPr>
        <w:t xml:space="preserve">• </w:t>
      </w:r>
      <w:r>
        <w:rPr>
          <w:rFonts w:ascii="Aptos" w:hAnsi="Aptos"/>
          <w:b w:val="0"/>
          <w:i w:val="0"/>
          <w:color w:val="111827"/>
          <w:sz w:val="21"/>
        </w:rPr>
        <w:t>Fix concept: use one selected model state as the source of truth for hero and compatibility workspace.</w:t>
      </w:r>
    </w:p>
    <w:p>
      <w:pPr>
        <w:spacing w:after="60"/>
        <w:ind w:left="360" w:hanging="202"/>
      </w:pPr>
      <w:r>
        <w:rPr>
          <w:rFonts w:ascii="Aptos" w:hAnsi="Aptos"/>
          <w:b/>
          <w:i w:val="0"/>
          <w:color w:val="67E8F9"/>
          <w:sz w:val="21"/>
        </w:rPr>
        <w:t xml:space="preserve">• </w:t>
      </w:r>
      <w:r>
        <w:rPr>
          <w:rFonts w:ascii="Aptos" w:hAnsi="Aptos"/>
          <w:b w:val="0"/>
          <w:i w:val="0"/>
          <w:color w:val="111827"/>
          <w:sz w:val="21"/>
        </w:rPr>
        <w:t>Camera roles: hero uses side-view; compatibility workspace uses top-down fitment view.</w:t>
      </w:r>
    </w:p>
    <w:p>
      <w:pPr>
        <w:spacing w:before="200" w:after="80" w:line="269" w:lineRule="auto"/>
      </w:pPr>
      <w:r>
        <w:rPr>
          <w:rFonts w:ascii="Aptos" w:hAnsi="Aptos"/>
          <w:b/>
          <w:i w:val="0"/>
          <w:color w:val="123C69"/>
          <w:sz w:val="27"/>
        </w:rPr>
        <w:t>Slide 7: React/Vite Landing Funnel</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The React version is the lightweight public landing page. It has hero CTAs, brand selector, compatibility form, features, FAQ accordion, mini game, callback form, and WhatsApp buttons. For Cloudflare Pages, it builds with npm run build and outputs the dist folder.</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Say React/Vite is suited for public static hosting and fast loading.</w:t>
      </w:r>
    </w:p>
    <w:p>
      <w:pPr>
        <w:spacing w:after="60"/>
        <w:ind w:left="360" w:hanging="202"/>
      </w:pPr>
      <w:r>
        <w:rPr>
          <w:rFonts w:ascii="Aptos" w:hAnsi="Aptos"/>
          <w:b/>
          <w:i w:val="0"/>
          <w:color w:val="67E8F9"/>
          <w:sz w:val="21"/>
        </w:rPr>
        <w:t xml:space="preserve">• </w:t>
      </w:r>
      <w:r>
        <w:rPr>
          <w:rFonts w:ascii="Aptos" w:hAnsi="Aptos"/>
          <w:b w:val="0"/>
          <w:i w:val="0"/>
          <w:color w:val="111827"/>
          <w:sz w:val="21"/>
        </w:rPr>
        <w:t>Mention Cloudflare settings: Build command npm run build, output dist.</w:t>
      </w:r>
    </w:p>
    <w:p>
      <w:pPr>
        <w:spacing w:after="60"/>
        <w:ind w:left="360" w:hanging="202"/>
      </w:pPr>
      <w:r>
        <w:rPr>
          <w:rFonts w:ascii="Aptos" w:hAnsi="Aptos"/>
          <w:b/>
          <w:i w:val="0"/>
          <w:color w:val="67E8F9"/>
          <w:sz w:val="21"/>
        </w:rPr>
        <w:t xml:space="preserve">• </w:t>
      </w:r>
      <w:r>
        <w:rPr>
          <w:rFonts w:ascii="Aptos" w:hAnsi="Aptos"/>
          <w:b w:val="0"/>
          <w:i w:val="0"/>
          <w:color w:val="111827"/>
          <w:sz w:val="21"/>
        </w:rPr>
        <w:t>This website is also where browser Pixel and Google tag run directly.</w:t>
      </w:r>
    </w:p>
    <w:p>
      <w:pPr>
        <w:spacing w:before="200" w:after="80" w:line="269" w:lineRule="auto"/>
      </w:pPr>
      <w:r>
        <w:rPr>
          <w:rFonts w:ascii="Aptos" w:hAnsi="Aptos"/>
          <w:b/>
          <w:i w:val="0"/>
          <w:color w:val="123C69"/>
          <w:sz w:val="27"/>
        </w:rPr>
        <w:t>Slide 8: Tracking + Integration Stack</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Tracking is the most important marketing layer. Meta Pixel uses ID 2687561291629470 and supports retargeting events like PageView, Lead, Used_Tool, BrandSelected, FAQOpened, MiniGameCompleted, and WhatsAppClicked. Google Ads uses conversion ID AW-18243205076 and lead conversion destination AW-18243205076/UYYRCM7u18AcENTvhPtD. The dashboard receives first-party canonical events through /api/track/event.</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Meta Pixel is for Meta Ads audiences and Events Manager validation.</w:t>
      </w:r>
    </w:p>
    <w:p>
      <w:pPr>
        <w:spacing w:after="60"/>
        <w:ind w:left="360" w:hanging="202"/>
      </w:pPr>
      <w:r>
        <w:rPr>
          <w:rFonts w:ascii="Aptos" w:hAnsi="Aptos"/>
          <w:b/>
          <w:i w:val="0"/>
          <w:color w:val="67E8F9"/>
          <w:sz w:val="21"/>
        </w:rPr>
        <w:t xml:space="preserve">• </w:t>
      </w:r>
      <w:r>
        <w:rPr>
          <w:rFonts w:ascii="Aptos" w:hAnsi="Aptos"/>
          <w:b w:val="0"/>
          <w:i w:val="0"/>
          <w:color w:val="111827"/>
          <w:sz w:val="21"/>
        </w:rPr>
        <w:t>Google Ads conversion is for Google lead campaign optimization.</w:t>
      </w:r>
    </w:p>
    <w:p>
      <w:pPr>
        <w:spacing w:after="60"/>
        <w:ind w:left="360" w:hanging="202"/>
      </w:pPr>
      <w:r>
        <w:rPr>
          <w:rFonts w:ascii="Aptos" w:hAnsi="Aptos"/>
          <w:b/>
          <w:i w:val="0"/>
          <w:color w:val="67E8F9"/>
          <w:sz w:val="21"/>
        </w:rPr>
        <w:t xml:space="preserve">• </w:t>
      </w:r>
      <w:r>
        <w:rPr>
          <w:rFonts w:ascii="Aptos" w:hAnsi="Aptos"/>
          <w:b w:val="0"/>
          <w:i w:val="0"/>
          <w:color w:val="111827"/>
          <w:sz w:val="21"/>
        </w:rPr>
        <w:t>First-party dashboard events are for AHA's own funnel visibility independent of ad platforms.</w:t>
      </w:r>
    </w:p>
    <w:p>
      <w:pPr>
        <w:spacing w:before="200" w:after="80" w:line="269" w:lineRule="auto"/>
      </w:pPr>
      <w:r>
        <w:rPr>
          <w:rFonts w:ascii="Aptos" w:hAnsi="Aptos"/>
          <w:b/>
          <w:i w:val="0"/>
          <w:color w:val="123C69"/>
          <w:sz w:val="27"/>
        </w:rPr>
        <w:t>Slide 9: Lead Capture + Dashboard Sync</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When a user submits a compatibility or callback form, the system records lead intent and source context. The form includes phone, brand, model, city, and preferred time. The phone number is important because the dashboard can use it to match the web session with lead data later.</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Say raw names/messages should go to the lead API/CRM, not general analytics.</w:t>
      </w:r>
    </w:p>
    <w:p>
      <w:pPr>
        <w:spacing w:after="60"/>
        <w:ind w:left="360" w:hanging="202"/>
      </w:pPr>
      <w:r>
        <w:rPr>
          <w:rFonts w:ascii="Aptos" w:hAnsi="Aptos"/>
          <w:b/>
          <w:i w:val="0"/>
          <w:color w:val="67E8F9"/>
          <w:sz w:val="21"/>
        </w:rPr>
        <w:t xml:space="preserve">• </w:t>
      </w:r>
      <w:r>
        <w:rPr>
          <w:rFonts w:ascii="Aptos" w:hAnsi="Aptos"/>
          <w:b w:val="0"/>
          <w:i w:val="0"/>
          <w:color w:val="111827"/>
          <w:sz w:val="21"/>
        </w:rPr>
        <w:t>Analytics payload sends only useful attribution and fitment context.</w:t>
      </w:r>
    </w:p>
    <w:p>
      <w:pPr>
        <w:spacing w:after="60"/>
        <w:ind w:left="360" w:hanging="202"/>
      </w:pPr>
      <w:r>
        <w:rPr>
          <w:rFonts w:ascii="Aptos" w:hAnsi="Aptos"/>
          <w:b/>
          <w:i w:val="0"/>
          <w:color w:val="67E8F9"/>
          <w:sz w:val="21"/>
        </w:rPr>
        <w:t xml:space="preserve">• </w:t>
      </w:r>
      <w:r>
        <w:rPr>
          <w:rFonts w:ascii="Aptos" w:hAnsi="Aptos"/>
          <w:b w:val="0"/>
          <w:i w:val="0"/>
          <w:color w:val="111827"/>
          <w:sz w:val="21"/>
        </w:rPr>
        <w:t>This keeps the dashboard useful without casually dumping unnecessary personal data into event logs.</w:t>
      </w:r>
    </w:p>
    <w:p>
      <w:pPr>
        <w:spacing w:before="200" w:after="80" w:line="269" w:lineRule="auto"/>
      </w:pPr>
      <w:r>
        <w:rPr>
          <w:rFonts w:ascii="Aptos" w:hAnsi="Aptos"/>
          <w:b/>
          <w:i w:val="0"/>
          <w:color w:val="123C69"/>
          <w:sz w:val="27"/>
        </w:rPr>
        <w:t>Slide 10: Code Walkthrough: React Tracking</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The React tracking code is centralized in src/tracking.js. Instead of writing Meta, Google, and dashboard code in every component, the component calls one helper like trackLead. That helper fires Meta Lead, fires the custom funnel event, fires Google Ads lead conversion, and sends first-party dashboard payload where required.</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Centralization reduces repeated code.</w:t>
      </w:r>
    </w:p>
    <w:p>
      <w:pPr>
        <w:spacing w:after="60"/>
        <w:ind w:left="360" w:hanging="202"/>
      </w:pPr>
      <w:r>
        <w:rPr>
          <w:rFonts w:ascii="Aptos" w:hAnsi="Aptos"/>
          <w:b/>
          <w:i w:val="0"/>
          <w:color w:val="67E8F9"/>
          <w:sz w:val="21"/>
        </w:rPr>
        <w:t xml:space="preserve">• </w:t>
      </w:r>
      <w:r>
        <w:rPr>
          <w:rFonts w:ascii="Aptos" w:hAnsi="Aptos"/>
          <w:b w:val="0"/>
          <w:i w:val="0"/>
          <w:color w:val="111827"/>
          <w:sz w:val="21"/>
        </w:rPr>
        <w:t>It ensures all forms use the same event naming and UTM/session context.</w:t>
      </w:r>
    </w:p>
    <w:p>
      <w:pPr>
        <w:spacing w:after="60"/>
        <w:ind w:left="360" w:hanging="202"/>
      </w:pPr>
      <w:r>
        <w:rPr>
          <w:rFonts w:ascii="Aptos" w:hAnsi="Aptos"/>
          <w:b/>
          <w:i w:val="0"/>
          <w:color w:val="67E8F9"/>
          <w:sz w:val="21"/>
        </w:rPr>
        <w:t xml:space="preserve">• </w:t>
      </w:r>
      <w:r>
        <w:rPr>
          <w:rFonts w:ascii="Aptos" w:hAnsi="Aptos"/>
          <w:b w:val="0"/>
          <w:i w:val="0"/>
          <w:color w:val="111827"/>
          <w:sz w:val="21"/>
        </w:rPr>
        <w:t>It is safer because dashboard keys stay in environment variables, not hardcoded in components.</w:t>
      </w:r>
    </w:p>
    <w:p>
      <w:pPr>
        <w:spacing w:before="0" w:after="120" w:line="269" w:lineRule="auto"/>
      </w:pPr>
      <w:r>
        <w:rPr>
          <w:rFonts w:ascii="Aptos" w:hAnsi="Aptos"/>
          <w:b/>
          <w:i w:val="0"/>
          <w:color w:val="07111F"/>
          <w:sz w:val="21"/>
        </w:rPr>
        <w:t>Code backup:</w:t>
      </w:r>
    </w:p>
    <w:tbl>
      <w:tblPr>
        <w:tblW w:type="auto" w:w="0"/>
        <w:jc w:val="center"/>
        <w:tblLook w:firstColumn="1" w:firstRow="1" w:lastColumn="0" w:lastRow="0" w:noHBand="0" w:noVBand="1" w:val="04A0"/>
      </w:tblPr>
      <w:tblGrid>
        <w:gridCol w:w="9936"/>
      </w:tblGrid>
      <w:tr>
        <w:tc>
          <w:tcPr>
            <w:tcW w:type="dxa" w:w="9936"/>
            <w:shd w:fill="0B1020"/>
            <w:tcBorders>
              <w:top w:val="single" w:sz="8" w:space="0" w:color="29415D"/>
              <w:left w:val="single" w:sz="8" w:space="0" w:color="29415D"/>
              <w:bottom w:val="single" w:sz="8" w:space="0" w:color="29415D"/>
              <w:right w:val="single" w:sz="8" w:space="0" w:color="29415D"/>
            </w:tcBorders>
          </w:tcPr>
          <w:p>
            <w:pPr>
              <w:spacing w:after="0"/>
            </w:pPr>
            <w:r>
              <w:rPr>
                <w:rFonts w:ascii="Consolas" w:hAnsi="Consolas"/>
                <w:b w:val="0"/>
                <w:i w:val="0"/>
                <w:color w:val="E5F0FF"/>
                <w:sz w:val="16"/>
              </w:rPr>
              <w:t>export function trackLead(eventName, data = {}) {</w:t>
              <w:br/>
              <w:t xml:space="preserve">  trackMeta("Lead", data);</w:t>
              <w:br/>
              <w:t xml:space="preserve">  trackFunnel(eventName, data);</w:t>
              <w:br/>
              <w:t xml:space="preserve">  trackGoogleAdsLeadConversion({</w:t>
              <w:br/>
              <w:t xml:space="preserve">    event_category: "lead",</w:t>
              <w:br/>
              <w:t xml:space="preserve">    event_label: eventName,</w:t>
              <w:br/>
              <w:t xml:space="preserve">    value: 1</w:t>
              <w:br/>
              <w:t xml:space="preserve">  });</w:t>
              <w:br/>
              <w:t>}</w:t>
            </w:r>
          </w:p>
        </w:tc>
      </w:tr>
    </w:tbl>
    <w:p>
      <w:pPr>
        <w:spacing w:before="0" w:after="40" w:line="269" w:lineRule="auto"/>
      </w:pPr>
    </w:p>
    <w:p>
      <w:pPr>
        <w:spacing w:before="200" w:after="80" w:line="269" w:lineRule="auto"/>
      </w:pPr>
      <w:r>
        <w:rPr>
          <w:rFonts w:ascii="Aptos" w:hAnsi="Aptos"/>
          <w:b/>
          <w:i w:val="0"/>
          <w:color w:val="123C69"/>
          <w:sz w:val="27"/>
        </w:rPr>
        <w:t>Slide 11: Code Walkthrough: Dashboard Payload</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For dashboard integration, friendly frontend events are mapped to canonical path IDs. For example, CheckCompatibilityClicked becomes web.check_compatibility_click. The dashboard expects stable event IDs because path drop-off calculations depend on consistent names.</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Do not say random frontend event names are stored directly.</w:t>
      </w:r>
    </w:p>
    <w:p>
      <w:pPr>
        <w:spacing w:after="60"/>
        <w:ind w:left="360" w:hanging="202"/>
      </w:pPr>
      <w:r>
        <w:rPr>
          <w:rFonts w:ascii="Aptos" w:hAnsi="Aptos"/>
          <w:b/>
          <w:i w:val="0"/>
          <w:color w:val="67E8F9"/>
          <w:sz w:val="21"/>
        </w:rPr>
        <w:t xml:space="preserve">• </w:t>
      </w:r>
      <w:r>
        <w:rPr>
          <w:rFonts w:ascii="Aptos" w:hAnsi="Aptos"/>
          <w:b w:val="0"/>
          <w:i w:val="0"/>
          <w:color w:val="111827"/>
          <w:sz w:val="21"/>
        </w:rPr>
        <w:t>Say this is a contract between the website and dashboard.</w:t>
      </w:r>
    </w:p>
    <w:p>
      <w:pPr>
        <w:spacing w:after="60"/>
        <w:ind w:left="360" w:hanging="202"/>
      </w:pPr>
      <w:r>
        <w:rPr>
          <w:rFonts w:ascii="Aptos" w:hAnsi="Aptos"/>
          <w:b/>
          <w:i w:val="0"/>
          <w:color w:val="67E8F9"/>
          <w:sz w:val="21"/>
        </w:rPr>
        <w:t xml:space="preserve">• </w:t>
      </w:r>
      <w:r>
        <w:rPr>
          <w:rFonts w:ascii="Aptos" w:hAnsi="Aptos"/>
          <w:b w:val="0"/>
          <w:i w:val="0"/>
          <w:color w:val="111827"/>
          <w:sz w:val="21"/>
        </w:rPr>
        <w:t>The payload contains sessionId, pagePath, UTM fields, pathType, stepId, and properties like brand/model.</w:t>
      </w:r>
    </w:p>
    <w:p>
      <w:pPr>
        <w:spacing w:before="0" w:after="120" w:line="269" w:lineRule="auto"/>
      </w:pPr>
      <w:r>
        <w:rPr>
          <w:rFonts w:ascii="Aptos" w:hAnsi="Aptos"/>
          <w:b/>
          <w:i w:val="0"/>
          <w:color w:val="07111F"/>
          <w:sz w:val="21"/>
        </w:rPr>
        <w:t>Code backup:</w:t>
      </w:r>
    </w:p>
    <w:tbl>
      <w:tblPr>
        <w:tblW w:type="auto" w:w="0"/>
        <w:jc w:val="center"/>
        <w:tblLook w:firstColumn="1" w:firstRow="1" w:lastColumn="0" w:lastRow="0" w:noHBand="0" w:noVBand="1" w:val="04A0"/>
      </w:tblPr>
      <w:tblGrid>
        <w:gridCol w:w="9936"/>
      </w:tblGrid>
      <w:tr>
        <w:tc>
          <w:tcPr>
            <w:tcW w:type="dxa" w:w="9936"/>
            <w:shd w:fill="0B1020"/>
            <w:tcBorders>
              <w:top w:val="single" w:sz="8" w:space="0" w:color="29415D"/>
              <w:left w:val="single" w:sz="8" w:space="0" w:color="29415D"/>
              <w:bottom w:val="single" w:sz="8" w:space="0" w:color="29415D"/>
              <w:right w:val="single" w:sz="8" w:space="0" w:color="29415D"/>
            </w:tcBorders>
          </w:tcPr>
          <w:p>
            <w:pPr>
              <w:spacing w:after="0"/>
            </w:pPr>
            <w:r>
              <w:rPr>
                <w:rFonts w:ascii="Consolas" w:hAnsi="Consolas"/>
                <w:b w:val="0"/>
                <w:i w:val="0"/>
                <w:color w:val="E5F0FF"/>
                <w:sz w:val="16"/>
              </w:rPr>
              <w:t>{</w:t>
              <w:br/>
              <w:t xml:space="preserve">  eventId: "web.check_compatibility_click",</w:t>
              <w:br/>
              <w:t xml:space="preserve">  sessionId,</w:t>
              <w:br/>
              <w:t xml:space="preserve">  pagePath,</w:t>
              <w:br/>
              <w:t xml:space="preserve">  utmSource,</w:t>
              <w:br/>
              <w:t xml:space="preserve">  utmMedium,</w:t>
              <w:br/>
              <w:t xml:space="preserve">  utmCampaign,</w:t>
              <w:br/>
              <w:t xml:space="preserve">  pathType: "website_widget",</w:t>
              <w:br/>
              <w:t xml:space="preserve">  stepId: "CheckCompatibilityClicked",</w:t>
              <w:br/>
              <w:t xml:space="preserve">  properties: { brand, model, source_event }</w:t>
              <w:br/>
              <w:t>}</w:t>
            </w:r>
          </w:p>
        </w:tc>
      </w:tr>
    </w:tbl>
    <w:p>
      <w:pPr>
        <w:spacing w:before="0" w:after="40" w:line="269" w:lineRule="auto"/>
      </w:pPr>
    </w:p>
    <w:p>
      <w:pPr>
        <w:spacing w:before="200" w:after="80" w:line="269" w:lineRule="auto"/>
      </w:pPr>
      <w:r>
        <w:rPr>
          <w:rFonts w:ascii="Aptos" w:hAnsi="Aptos"/>
          <w:b/>
          <w:i w:val="0"/>
          <w:color w:val="123C69"/>
          <w:sz w:val="27"/>
        </w:rPr>
        <w:t>Slide 12: Code Walkthrough: Streamlit Tracking</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Streamlit works differently from React. It reruns the script after user interactions, so I placed tracking after meaningful state-changing actions. For example, after the Run NexCruise Scan button, it calculates compatibility and then calls track_event with brand, model, city, use case, and budget.</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React tracks click handlers in the browser; Streamlit tracks Python-side state transitions.</w:t>
      </w:r>
    </w:p>
    <w:p>
      <w:pPr>
        <w:spacing w:after="60"/>
        <w:ind w:left="360" w:hanging="202"/>
      </w:pPr>
      <w:r>
        <w:rPr>
          <w:rFonts w:ascii="Aptos" w:hAnsi="Aptos"/>
          <w:b/>
          <w:i w:val="0"/>
          <w:color w:val="67E8F9"/>
          <w:sz w:val="21"/>
        </w:rPr>
        <w:t xml:space="preserve">• </w:t>
      </w:r>
      <w:r>
        <w:rPr>
          <w:rFonts w:ascii="Aptos" w:hAnsi="Aptos"/>
          <w:b w:val="0"/>
          <w:i w:val="0"/>
          <w:color w:val="111827"/>
          <w:sz w:val="21"/>
        </w:rPr>
        <w:t>For callback submission, Streamlit fires Meta Lead, Google conversion, and dashboard callback completion.</w:t>
      </w:r>
    </w:p>
    <w:p>
      <w:pPr>
        <w:spacing w:after="60"/>
        <w:ind w:left="360" w:hanging="202"/>
      </w:pPr>
      <w:r>
        <w:rPr>
          <w:rFonts w:ascii="Aptos" w:hAnsi="Aptos"/>
          <w:b/>
          <w:i w:val="0"/>
          <w:color w:val="67E8F9"/>
          <w:sz w:val="21"/>
        </w:rPr>
        <w:t xml:space="preserve">• </w:t>
      </w:r>
      <w:r>
        <w:rPr>
          <w:rFonts w:ascii="Aptos" w:hAnsi="Aptos"/>
          <w:b w:val="0"/>
          <w:i w:val="0"/>
          <w:color w:val="111827"/>
          <w:sz w:val="21"/>
        </w:rPr>
        <w:t>Brand selection from query parameters also records BrandSelected with source context.</w:t>
      </w:r>
    </w:p>
    <w:p>
      <w:pPr>
        <w:spacing w:before="0" w:after="120" w:line="269" w:lineRule="auto"/>
      </w:pPr>
      <w:r>
        <w:rPr>
          <w:rFonts w:ascii="Aptos" w:hAnsi="Aptos"/>
          <w:b/>
          <w:i w:val="0"/>
          <w:color w:val="07111F"/>
          <w:sz w:val="21"/>
        </w:rPr>
        <w:t>Code backup:</w:t>
      </w:r>
    </w:p>
    <w:tbl>
      <w:tblPr>
        <w:tblW w:type="auto" w:w="0"/>
        <w:jc w:val="center"/>
        <w:tblLook w:firstColumn="1" w:firstRow="1" w:lastColumn="0" w:lastRow="0" w:noHBand="0" w:noVBand="1" w:val="04A0"/>
      </w:tblPr>
      <w:tblGrid>
        <w:gridCol w:w="9936"/>
      </w:tblGrid>
      <w:tr>
        <w:tc>
          <w:tcPr>
            <w:tcW w:type="dxa" w:w="9936"/>
            <w:shd w:fill="0B1020"/>
            <w:tcBorders>
              <w:top w:val="single" w:sz="8" w:space="0" w:color="29415D"/>
              <w:left w:val="single" w:sz="8" w:space="0" w:color="29415D"/>
              <w:bottom w:val="single" w:sz="8" w:space="0" w:color="29415D"/>
              <w:right w:val="single" w:sz="8" w:space="0" w:color="29415D"/>
            </w:tcBorders>
          </w:tcPr>
          <w:p>
            <w:pPr>
              <w:spacing w:after="0"/>
            </w:pPr>
            <w:r>
              <w:rPr>
                <w:rFonts w:ascii="Consolas" w:hAnsi="Consolas"/>
                <w:b w:val="0"/>
                <w:i w:val="0"/>
                <w:color w:val="E5F0FF"/>
                <w:sz w:val="16"/>
              </w:rPr>
              <w:t>if st.button("Run NexCruise scan", key="run_scan"):</w:t>
              <w:br/>
              <w:t xml:space="preserve">    run_compatibility_check()</w:t>
              <w:br/>
              <w:t xml:space="preserve">    track_event(</w:t>
              <w:br/>
              <w:t xml:space="preserve">        "CheckCompatibilityClicked",</w:t>
              <w:br/>
              <w:t xml:space="preserve">        data={</w:t>
              <w:br/>
              <w:t xml:space="preserve">            "brand": st.session_state.selected_brand,</w:t>
              <w:br/>
              <w:t xml:space="preserve">            "model": st.session_state.selected_model,</w:t>
              <w:br/>
              <w:t xml:space="preserve">            "city": st.session_state.selected_region,</w:t>
              <w:br/>
              <w:t xml:space="preserve">        },</w:t>
              <w:br/>
              <w:t xml:space="preserve">    )</w:t>
            </w:r>
          </w:p>
        </w:tc>
      </w:tr>
    </w:tbl>
    <w:p>
      <w:pPr>
        <w:spacing w:before="0" w:after="40" w:line="269" w:lineRule="auto"/>
      </w:pPr>
    </w:p>
    <w:p>
      <w:pPr>
        <w:spacing w:before="200" w:after="80" w:line="269" w:lineRule="auto"/>
      </w:pPr>
      <w:r>
        <w:rPr>
          <w:rFonts w:ascii="Aptos" w:hAnsi="Aptos"/>
          <w:b/>
          <w:i w:val="0"/>
          <w:color w:val="123C69"/>
          <w:sz w:val="27"/>
        </w:rPr>
        <w:t>Slide 13: Deployment + Commands</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For local development, the React landing page runs with npm run dev and builds with npm run build. For Cloudflare Pages, the build command is npm run build and the output folder is dist. The Streamlit UI opens using streamlit run app.py. The dashboard is separate and runs from digital_marketing-master with npm run dev.</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Cloudflare Pages is for the static React site.</w:t>
      </w:r>
    </w:p>
    <w:p>
      <w:pPr>
        <w:spacing w:after="60"/>
        <w:ind w:left="360" w:hanging="202"/>
      </w:pPr>
      <w:r>
        <w:rPr>
          <w:rFonts w:ascii="Aptos" w:hAnsi="Aptos"/>
          <w:b/>
          <w:i w:val="0"/>
          <w:color w:val="67E8F9"/>
          <w:sz w:val="21"/>
        </w:rPr>
        <w:t xml:space="preserve">• </w:t>
      </w:r>
      <w:r>
        <w:rPr>
          <w:rFonts w:ascii="Aptos" w:hAnsi="Aptos"/>
          <w:b w:val="0"/>
          <w:i w:val="0"/>
          <w:color w:val="111827"/>
          <w:sz w:val="21"/>
        </w:rPr>
        <w:t>Streamlit needs a Streamlit-capable hosting setup unless rebuilt in React.</w:t>
      </w:r>
    </w:p>
    <w:p>
      <w:pPr>
        <w:spacing w:after="60"/>
        <w:ind w:left="360" w:hanging="202"/>
      </w:pPr>
      <w:r>
        <w:rPr>
          <w:rFonts w:ascii="Aptos" w:hAnsi="Aptos"/>
          <w:b/>
          <w:i w:val="0"/>
          <w:color w:val="67E8F9"/>
          <w:sz w:val="21"/>
        </w:rPr>
        <w:t xml:space="preserve">• </w:t>
      </w:r>
      <w:r>
        <w:rPr>
          <w:rFonts w:ascii="Aptos" w:hAnsi="Aptos"/>
          <w:b w:val="0"/>
          <w:i w:val="0"/>
          <w:color w:val="111827"/>
          <w:sz w:val="21"/>
        </w:rPr>
        <w:t>The dashboard endpoint must be online if first-party event ingestion is expected.</w:t>
      </w:r>
    </w:p>
    <w:p>
      <w:pPr>
        <w:spacing w:before="200" w:after="80" w:line="269" w:lineRule="auto"/>
      </w:pPr>
      <w:r>
        <w:rPr>
          <w:rFonts w:ascii="Aptos" w:hAnsi="Aptos"/>
          <w:b/>
          <w:i w:val="0"/>
          <w:color w:val="123C69"/>
          <w:sz w:val="27"/>
        </w:rPr>
        <w:t>Slide 14: QA + Security Validation</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I validated the integration through build checks and browser tests. npm run build passed. Python compile passed for touched Streamlit files. Browser QA confirmed compatibility form success. Event capture confirmed Meta Pixel events, Google Ads conversion payload, and first-party dashboard event payload. I also checked that no private dashboard tracking key is hardcoded.</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If asked about security: public IDs like Meta Pixel ID and Google Ads ID are not secrets.</w:t>
      </w:r>
    </w:p>
    <w:p>
      <w:pPr>
        <w:spacing w:after="60"/>
        <w:ind w:left="360" w:hanging="202"/>
      </w:pPr>
      <w:r>
        <w:rPr>
          <w:rFonts w:ascii="Aptos" w:hAnsi="Aptos"/>
          <w:b/>
          <w:i w:val="0"/>
          <w:color w:val="67E8F9"/>
          <w:sz w:val="21"/>
        </w:rPr>
        <w:t xml:space="preserve">• </w:t>
      </w:r>
      <w:r>
        <w:rPr>
          <w:rFonts w:ascii="Aptos" w:hAnsi="Aptos"/>
          <w:b w:val="0"/>
          <w:i w:val="0"/>
          <w:color w:val="111827"/>
          <w:sz w:val="21"/>
        </w:rPr>
        <w:t>Private values are TRACK_API_KEY and LEAD_INGEST_KEY, and those should be environment variables.</w:t>
      </w:r>
    </w:p>
    <w:p>
      <w:pPr>
        <w:spacing w:after="60"/>
        <w:ind w:left="360" w:hanging="202"/>
      </w:pPr>
      <w:r>
        <w:rPr>
          <w:rFonts w:ascii="Aptos" w:hAnsi="Aptos"/>
          <w:b/>
          <w:i w:val="0"/>
          <w:color w:val="67E8F9"/>
          <w:sz w:val="21"/>
        </w:rPr>
        <w:t xml:space="preserve">• </w:t>
      </w:r>
      <w:r>
        <w:rPr>
          <w:rFonts w:ascii="Aptos" w:hAnsi="Aptos"/>
          <w:b w:val="0"/>
          <w:i w:val="0"/>
          <w:color w:val="111827"/>
          <w:sz w:val="21"/>
        </w:rPr>
        <w:t>Tracking failures are caught so analytics cannot break the user experience.</w:t>
      </w:r>
    </w:p>
    <w:p>
      <w:pPr>
        <w:spacing w:before="200" w:after="80" w:line="269" w:lineRule="auto"/>
      </w:pPr>
      <w:r>
        <w:rPr>
          <w:rFonts w:ascii="Aptos" w:hAnsi="Aptos"/>
          <w:b/>
          <w:i w:val="0"/>
          <w:color w:val="123C69"/>
          <w:sz w:val="27"/>
        </w:rPr>
        <w:t>Slide 15: Final Outcome + Next Phase</w:t>
      </w:r>
    </w:p>
    <w:tbl>
      <w:tblPr>
        <w:tblW w:type="auto" w:w="0"/>
        <w:jc w:val="center"/>
        <w:tblLook w:firstColumn="1" w:firstRow="1" w:lastColumn="0" w:lastRow="0" w:noHBand="0" w:noVBand="1" w:val="04A0"/>
      </w:tblPr>
      <w:tblGrid>
        <w:gridCol w:w="9936"/>
      </w:tblGrid>
      <w:tr>
        <w:tc>
          <w:tcPr>
            <w:tcW w:type="dxa" w:w="9936"/>
            <w:shd w:fill="EEF5FF"/>
            <w:tcBorders>
              <w:top w:val="single" w:sz="10" w:space="0" w:color="3B82F6"/>
              <w:left w:val="single" w:sz="10" w:space="0" w:color="3B82F6"/>
              <w:bottom w:val="single" w:sz="10" w:space="0" w:color="3B82F6"/>
              <w:right w:val="single" w:sz="10" w:space="0" w:color="3B82F6"/>
            </w:tcBorders>
          </w:tcPr>
          <w:p>
            <w:r>
              <w:rPr>
                <w:rFonts w:ascii="Aptos" w:hAnsi="Aptos"/>
                <w:b/>
                <w:i w:val="0"/>
                <w:color w:val="3B82F6"/>
                <w:sz w:val="22"/>
              </w:rPr>
              <w:t>Say this</w:t>
            </w:r>
          </w:p>
          <w:p>
            <w:r>
              <w:rPr>
                <w:rFonts w:ascii="Aptos" w:hAnsi="Aptos"/>
                <w:b w:val="0"/>
                <w:i w:val="0"/>
                <w:color w:val="111827"/>
                <w:sz w:val="21"/>
              </w:rPr>
              <w:t>The final deliverable is a working demo and deployment-ready funnel foundation for AHA Automotive. The next production steps are replacing the placeholder WhatsApp number, finalizing CRM or NeoDove lead routing, deciding whether Streamlit remains hosted or is rebuilt in React, adding server-side Meta Conversion API, and replacing placeholders with final product videos and approved assets.</w:t>
            </w:r>
          </w:p>
        </w:tc>
      </w:tr>
    </w:tbl>
    <w:p>
      <w:pPr>
        <w:spacing w:before="0" w:after="40" w:line="269" w:lineRule="auto"/>
      </w:pPr>
    </w:p>
    <w:p>
      <w:pPr>
        <w:spacing w:before="0" w:after="120" w:line="269" w:lineRule="auto"/>
      </w:pPr>
      <w:r>
        <w:rPr>
          <w:rFonts w:ascii="Aptos" w:hAnsi="Aptos"/>
          <w:b/>
          <w:i w:val="0"/>
          <w:color w:val="07111F"/>
          <w:sz w:val="21"/>
        </w:rPr>
        <w:t>If asked, explain:</w:t>
      </w:r>
    </w:p>
    <w:p>
      <w:pPr>
        <w:spacing w:after="60"/>
        <w:ind w:left="360" w:hanging="202"/>
      </w:pPr>
      <w:r>
        <w:rPr>
          <w:rFonts w:ascii="Aptos" w:hAnsi="Aptos"/>
          <w:b/>
          <w:i w:val="0"/>
          <w:color w:val="67E8F9"/>
          <w:sz w:val="21"/>
        </w:rPr>
        <w:t xml:space="preserve">• </w:t>
      </w:r>
      <w:r>
        <w:rPr>
          <w:rFonts w:ascii="Aptos" w:hAnsi="Aptos"/>
          <w:b w:val="0"/>
          <w:i w:val="0"/>
          <w:color w:val="111827"/>
          <w:sz w:val="21"/>
        </w:rPr>
        <w:t>Close confidently: the project is ready for demo and feedback.</w:t>
      </w:r>
    </w:p>
    <w:p>
      <w:pPr>
        <w:spacing w:after="60"/>
        <w:ind w:left="360" w:hanging="202"/>
      </w:pPr>
      <w:r>
        <w:rPr>
          <w:rFonts w:ascii="Aptos" w:hAnsi="Aptos"/>
          <w:b/>
          <w:i w:val="0"/>
          <w:color w:val="67E8F9"/>
          <w:sz w:val="21"/>
        </w:rPr>
        <w:t xml:space="preserve">• </w:t>
      </w:r>
      <w:r>
        <w:rPr>
          <w:rFonts w:ascii="Aptos" w:hAnsi="Aptos"/>
          <w:b w:val="0"/>
          <w:i w:val="0"/>
          <w:color w:val="111827"/>
          <w:sz w:val="21"/>
        </w:rPr>
        <w:t>Mention that production needs real business credentials and final brand assets.</w:t>
      </w:r>
    </w:p>
    <w:p>
      <w:pPr>
        <w:spacing w:after="60"/>
        <w:ind w:left="360" w:hanging="202"/>
      </w:pPr>
      <w:r>
        <w:rPr>
          <w:rFonts w:ascii="Aptos" w:hAnsi="Aptos"/>
          <w:b/>
          <w:i w:val="0"/>
          <w:color w:val="67E8F9"/>
          <w:sz w:val="21"/>
        </w:rPr>
        <w:t xml:space="preserve">• </w:t>
      </w:r>
      <w:r>
        <w:rPr>
          <w:rFonts w:ascii="Aptos" w:hAnsi="Aptos"/>
          <w:b w:val="0"/>
          <w:i w:val="0"/>
          <w:color w:val="111827"/>
          <w:sz w:val="21"/>
        </w:rPr>
        <w:t>Do not oversell it as fully production complete; call it a strong funnel prototype with clear production path.</w:t>
      </w:r>
    </w:p>
    <w:p>
      <w:pPr>
        <w:spacing w:before="280" w:after="100" w:line="269" w:lineRule="auto"/>
      </w:pPr>
      <w:r>
        <w:rPr>
          <w:rFonts w:ascii="Aptos" w:hAnsi="Aptos"/>
          <w:b/>
          <w:i w:val="0"/>
          <w:color w:val="07111F"/>
          <w:sz w:val="34"/>
        </w:rPr>
        <w:t>Extra technical explanation: event flow</w:t>
      </w:r>
    </w:p>
    <w:p>
      <w:pPr>
        <w:spacing w:before="0" w:after="120" w:line="269" w:lineRule="auto"/>
      </w:pPr>
      <w:r>
        <w:rPr>
          <w:rFonts w:ascii="Aptos" w:hAnsi="Aptos"/>
          <w:b w:val="0"/>
          <w:i w:val="0"/>
          <w:color w:val="111827"/>
          <w:sz w:val="21"/>
        </w:rPr>
        <w:t>The cleanest way to explain the tracking architecture is to say that the UI emits business events, and the tracking layer translates those business events into platform-specific events.</w:t>
      </w:r>
    </w:p>
    <w:tbl>
      <w:tblPr>
        <w:tblW w:type="auto" w:w="0"/>
        <w:jc w:val="center"/>
        <w:tblLook w:firstColumn="1" w:firstRow="1" w:lastColumn="0" w:lastRow="0" w:noHBand="0" w:noVBand="1" w:val="04A0"/>
      </w:tblPr>
      <w:tblGrid>
        <w:gridCol w:w="9936"/>
      </w:tblGrid>
      <w:tr>
        <w:tc>
          <w:tcPr>
            <w:tcW w:type="dxa" w:w="9936"/>
            <w:shd w:fill="0B1020"/>
            <w:tcBorders>
              <w:top w:val="single" w:sz="8" w:space="0" w:color="29415D"/>
              <w:left w:val="single" w:sz="8" w:space="0" w:color="29415D"/>
              <w:bottom w:val="single" w:sz="8" w:space="0" w:color="29415D"/>
              <w:right w:val="single" w:sz="8" w:space="0" w:color="29415D"/>
            </w:tcBorders>
          </w:tcPr>
          <w:p>
            <w:pPr>
              <w:spacing w:after="0"/>
            </w:pPr>
            <w:r>
              <w:rPr>
                <w:rFonts w:ascii="Consolas" w:hAnsi="Consolas"/>
                <w:b w:val="0"/>
                <w:i w:val="0"/>
                <w:color w:val="E5F0FF"/>
                <w:sz w:val="16"/>
              </w:rPr>
              <w:t>UI action:</w:t>
              <w:br/>
              <w:t xml:space="preserve">  User submits compatibility form</w:t>
              <w:br/>
              <w:br/>
              <w:t>Business event:</w:t>
              <w:br/>
              <w:t xml:space="preserve">  CompatibilityFormSubmitted</w:t>
              <w:br/>
              <w:br/>
              <w:t>Platform outputs:</w:t>
              <w:br/>
              <w:t xml:space="preserve">  Meta Pixel -&gt; Lead + custom event</w:t>
              <w:br/>
              <w:t xml:space="preserve">  Google Ads -&gt; conversion send_to</w:t>
              <w:br/>
              <w:t xml:space="preserve">  Dashboard -&gt; canonical web.* event with UTM/session</w:t>
            </w:r>
          </w:p>
        </w:tc>
      </w:tr>
    </w:tbl>
    <w:p>
      <w:pPr>
        <w:spacing w:before="0" w:after="40" w:line="269" w:lineRule="auto"/>
      </w:pPr>
    </w:p>
    <w:p>
      <w:pPr>
        <w:spacing w:before="280" w:after="100" w:line="269" w:lineRule="auto"/>
      </w:pPr>
      <w:r>
        <w:rPr>
          <w:rFonts w:ascii="Aptos" w:hAnsi="Aptos"/>
          <w:b/>
          <w:i w:val="0"/>
          <w:color w:val="07111F"/>
          <w:sz w:val="34"/>
        </w:rPr>
        <w:t>Extra technical explanation: Cloudflare environment variables</w:t>
      </w:r>
    </w:p>
    <w:p>
      <w:pPr>
        <w:spacing w:before="0" w:after="120" w:line="269" w:lineRule="auto"/>
      </w:pPr>
      <w:r>
        <w:rPr>
          <w:rFonts w:ascii="Aptos" w:hAnsi="Aptos"/>
          <w:b w:val="0"/>
          <w:i w:val="0"/>
          <w:color w:val="111827"/>
          <w:sz w:val="21"/>
        </w:rPr>
        <w:t>If asked about deployment, explain that public IDs are allowed in frontend code, but private dashboard keys must be set as Cloudflare environment variables.</w:t>
      </w:r>
    </w:p>
    <w:tbl>
      <w:tblPr>
        <w:tblW w:type="auto" w:w="0"/>
        <w:jc w:val="center"/>
        <w:tblLook w:firstColumn="1" w:firstRow="1" w:lastColumn="0" w:lastRow="0" w:noHBand="0" w:noVBand="1" w:val="04A0"/>
      </w:tblPr>
      <w:tblGrid>
        <w:gridCol w:w="9936"/>
      </w:tblGrid>
      <w:tr>
        <w:tc>
          <w:tcPr>
            <w:tcW w:type="dxa" w:w="9936"/>
            <w:shd w:fill="0B1020"/>
            <w:tcBorders>
              <w:top w:val="single" w:sz="8" w:space="0" w:color="29415D"/>
              <w:left w:val="single" w:sz="8" w:space="0" w:color="29415D"/>
              <w:bottom w:val="single" w:sz="8" w:space="0" w:color="29415D"/>
              <w:right w:val="single" w:sz="8" w:space="0" w:color="29415D"/>
            </w:tcBorders>
          </w:tcPr>
          <w:p>
            <w:pPr>
              <w:spacing w:after="0"/>
            </w:pPr>
            <w:r>
              <w:rPr>
                <w:rFonts w:ascii="Consolas" w:hAnsi="Consolas"/>
                <w:b w:val="0"/>
                <w:i w:val="0"/>
                <w:color w:val="E5F0FF"/>
                <w:sz w:val="16"/>
              </w:rPr>
              <w:t>VITE_AHA_TRACK_ENDPOINT=https://dashboard.ahaautomotive.in/api/track/event</w:t>
              <w:br/>
              <w:t>VITE_AHA_TRACK_KEY=&lt;same value as digital_marketing-master TRACK_API_KEY&gt;</w:t>
              <w:br/>
              <w:br/>
              <w:t># Dashboard backend:</w:t>
              <w:br/>
              <w:t>TRACK_API_KEY=&lt;private random secret&gt;</w:t>
              <w:br/>
              <w:t>LEAD_INGEST_KEY=&lt;private random secret for lead ingest&gt;</w:t>
            </w:r>
          </w:p>
        </w:tc>
      </w:tr>
    </w:tbl>
    <w:p>
      <w:pPr>
        <w:spacing w:before="0" w:after="40" w:line="269" w:lineRule="auto"/>
      </w:pPr>
    </w:p>
    <w:p>
      <w:pPr>
        <w:spacing w:before="280" w:after="100" w:line="269" w:lineRule="auto"/>
      </w:pPr>
      <w:r>
        <w:rPr>
          <w:rFonts w:ascii="Aptos" w:hAnsi="Aptos"/>
          <w:b/>
          <w:i w:val="0"/>
          <w:color w:val="07111F"/>
          <w:sz w:val="34"/>
        </w:rPr>
        <w:t>Likely viva questions and answers</w:t>
      </w:r>
    </w:p>
    <w:tbl>
      <w:tblPr>
        <w:tblW w:type="auto" w:w="0"/>
        <w:jc w:val="center"/>
        <w:tblLayout w:type="fixed"/>
        <w:tblLook w:firstColumn="1" w:firstRow="1" w:lastColumn="0" w:lastRow="0" w:noHBand="0" w:noVBand="1" w:val="04A0"/>
      </w:tblPr>
      <w:tblGrid>
        <w:gridCol w:w="4968"/>
        <w:gridCol w:w="4968"/>
      </w:tblGrid>
      <w:tr>
        <w:tc>
          <w:tcPr>
            <w:tcW w:type="dxa" w:w="4968"/>
            <w:shd w:fill="07111F"/>
            <w:tcBorders>
              <w:top w:val="single" w:sz="8" w:space="0" w:color="29415D"/>
              <w:left w:val="single" w:sz="8" w:space="0" w:color="29415D"/>
              <w:bottom w:val="single" w:sz="8" w:space="0" w:color="29415D"/>
              <w:right w:val="single" w:sz="8" w:space="0" w:color="29415D"/>
            </w:tcBorders>
            <w:vAlign w:val="center"/>
          </w:tcPr>
          <w:p>
            <w:r/>
            <w:r>
              <w:rPr>
                <w:rFonts w:ascii="Aptos" w:hAnsi="Aptos"/>
                <w:b/>
                <w:i w:val="0"/>
                <w:color w:val="F8FAFC"/>
                <w:sz w:val="20"/>
              </w:rPr>
              <w:t>Question</w:t>
            </w:r>
          </w:p>
        </w:tc>
        <w:tc>
          <w:tcPr>
            <w:tcW w:type="dxa" w:w="4968"/>
            <w:shd w:fill="07111F"/>
            <w:tcBorders>
              <w:top w:val="single" w:sz="8" w:space="0" w:color="29415D"/>
              <w:left w:val="single" w:sz="8" w:space="0" w:color="29415D"/>
              <w:bottom w:val="single" w:sz="8" w:space="0" w:color="29415D"/>
              <w:right w:val="single" w:sz="8" w:space="0" w:color="29415D"/>
            </w:tcBorders>
            <w:vAlign w:val="center"/>
          </w:tcPr>
          <w:p>
            <w:r/>
            <w:r>
              <w:rPr>
                <w:rFonts w:ascii="Aptos" w:hAnsi="Aptos"/>
                <w:b/>
                <w:i w:val="0"/>
                <w:color w:val="F8FAFC"/>
                <w:sz w:val="20"/>
              </w:rPr>
              <w:t>Answer to say</w:t>
            </w:r>
          </w:p>
        </w:tc>
      </w:tr>
      <w:tr>
        <w:tc>
          <w:tcPr>
            <w:tcW w:type="dxa" w:w="4968"/>
            <w:shd w:fill="F7FAFD"/>
            <w:tcBorders>
              <w:top w:val="single" w:sz="6" w:space="0" w:color="D9E2EF"/>
              <w:left w:val="single" w:sz="6" w:space="0" w:color="D9E2EF"/>
              <w:bottom w:val="single" w:sz="6" w:space="0" w:color="D9E2EF"/>
              <w:right w:val="single" w:sz="6" w:space="0" w:color="D9E2EF"/>
            </w:tcBorders>
          </w:tcPr>
          <w:p>
            <w:r/>
            <w:r>
              <w:rPr>
                <w:rFonts w:ascii="Aptos" w:hAnsi="Aptos"/>
                <w:b/>
                <w:i w:val="0"/>
                <w:color w:val="07111F"/>
                <w:sz w:val="19"/>
              </w:rPr>
              <w:t>Why did you use Streamlit if the site is on Cloudflare?</w:t>
            </w:r>
          </w:p>
        </w:tc>
        <w:tc>
          <w:tcPr>
            <w:tcW w:type="dxa" w:w="4968"/>
            <w:shd w:fill="F7FAFD"/>
            <w:tcBorders>
              <w:top w:val="single" w:sz="6" w:space="0" w:color="D9E2EF"/>
              <w:left w:val="single" w:sz="6" w:space="0" w:color="D9E2EF"/>
              <w:bottom w:val="single" w:sz="6" w:space="0" w:color="D9E2EF"/>
              <w:right w:val="single" w:sz="6" w:space="0" w:color="D9E2EF"/>
            </w:tcBorders>
          </w:tcPr>
          <w:p>
            <w:r/>
            <w:r>
              <w:rPr>
                <w:rFonts w:ascii="Aptos" w:hAnsi="Aptos"/>
                <w:b w:val="0"/>
                <w:i w:val="0"/>
                <w:color w:val="111827"/>
                <w:sz w:val="19"/>
              </w:rPr>
              <w:t>Streamlit became the final demo OS because it allowed fast interactive compatibility logic and dashboard-style UI. React/Vite remains the static public landing path for Cloudflare.</w:t>
            </w:r>
          </w:p>
        </w:tc>
      </w:tr>
      <w:tr>
        <w:tc>
          <w:tcPr>
            <w:tcW w:type="dxa" w:w="4968"/>
            <w:shd w:fill="FFFFFF"/>
            <w:tcBorders>
              <w:top w:val="single" w:sz="6" w:space="0" w:color="D9E2EF"/>
              <w:left w:val="single" w:sz="6" w:space="0" w:color="D9E2EF"/>
              <w:bottom w:val="single" w:sz="6" w:space="0" w:color="D9E2EF"/>
              <w:right w:val="single" w:sz="6" w:space="0" w:color="D9E2EF"/>
            </w:tcBorders>
          </w:tcPr>
          <w:p>
            <w:r/>
            <w:r>
              <w:rPr>
                <w:rFonts w:ascii="Aptos" w:hAnsi="Aptos"/>
                <w:b/>
                <w:i w:val="0"/>
                <w:color w:val="07111F"/>
                <w:sz w:val="19"/>
              </w:rPr>
              <w:t>What does UTM-aware mean?</w:t>
            </w:r>
          </w:p>
        </w:tc>
        <w:tc>
          <w:tcPr>
            <w:tcW w:type="dxa" w:w="4968"/>
            <w:shd w:fill="FFFFFF"/>
            <w:tcBorders>
              <w:top w:val="single" w:sz="6" w:space="0" w:color="D9E2EF"/>
              <w:left w:val="single" w:sz="6" w:space="0" w:color="D9E2EF"/>
              <w:bottom w:val="single" w:sz="6" w:space="0" w:color="D9E2EF"/>
              <w:right w:val="single" w:sz="6" w:space="0" w:color="D9E2EF"/>
            </w:tcBorders>
          </w:tcPr>
          <w:p>
            <w:r/>
            <w:r>
              <w:rPr>
                <w:rFonts w:ascii="Aptos" w:hAnsi="Aptos"/>
                <w:b w:val="0"/>
                <w:i w:val="0"/>
                <w:color w:val="111827"/>
                <w:sz w:val="19"/>
              </w:rPr>
              <w:t>The site reads URL campaign parameters like utm_source and utm_campaign, keeps them in event payloads, and can adapt copy based on the visitor source.</w:t>
            </w:r>
          </w:p>
        </w:tc>
      </w:tr>
      <w:tr>
        <w:tc>
          <w:tcPr>
            <w:tcW w:type="dxa" w:w="4968"/>
            <w:shd w:fill="F7FAFD"/>
            <w:tcBorders>
              <w:top w:val="single" w:sz="6" w:space="0" w:color="D9E2EF"/>
              <w:left w:val="single" w:sz="6" w:space="0" w:color="D9E2EF"/>
              <w:bottom w:val="single" w:sz="6" w:space="0" w:color="D9E2EF"/>
              <w:right w:val="single" w:sz="6" w:space="0" w:color="D9E2EF"/>
            </w:tcBorders>
          </w:tcPr>
          <w:p>
            <w:r/>
            <w:r>
              <w:rPr>
                <w:rFonts w:ascii="Aptos" w:hAnsi="Aptos"/>
                <w:b/>
                <w:i w:val="0"/>
                <w:color w:val="07111F"/>
                <w:sz w:val="19"/>
              </w:rPr>
              <w:t>Why first-party dashboard tracking?</w:t>
            </w:r>
          </w:p>
        </w:tc>
        <w:tc>
          <w:tcPr>
            <w:tcW w:type="dxa" w:w="4968"/>
            <w:shd w:fill="F7FAFD"/>
            <w:tcBorders>
              <w:top w:val="single" w:sz="6" w:space="0" w:color="D9E2EF"/>
              <w:left w:val="single" w:sz="6" w:space="0" w:color="D9E2EF"/>
              <w:bottom w:val="single" w:sz="6" w:space="0" w:color="D9E2EF"/>
              <w:right w:val="single" w:sz="6" w:space="0" w:color="D9E2EF"/>
            </w:tcBorders>
          </w:tcPr>
          <w:p>
            <w:r/>
            <w:r>
              <w:rPr>
                <w:rFonts w:ascii="Aptos" w:hAnsi="Aptos"/>
                <w:b w:val="0"/>
                <w:i w:val="0"/>
                <w:color w:val="111827"/>
                <w:sz w:val="19"/>
              </w:rPr>
              <w:t>Ad platforms show campaign performance, but AHA also needs its own view of sessions, compatibility clicks, callback submissions, and path drop-off.</w:t>
            </w:r>
          </w:p>
        </w:tc>
      </w:tr>
      <w:tr>
        <w:tc>
          <w:tcPr>
            <w:tcW w:type="dxa" w:w="4968"/>
            <w:shd w:fill="FFFFFF"/>
            <w:tcBorders>
              <w:top w:val="single" w:sz="6" w:space="0" w:color="D9E2EF"/>
              <w:left w:val="single" w:sz="6" w:space="0" w:color="D9E2EF"/>
              <w:bottom w:val="single" w:sz="6" w:space="0" w:color="D9E2EF"/>
              <w:right w:val="single" w:sz="6" w:space="0" w:color="D9E2EF"/>
            </w:tcBorders>
          </w:tcPr>
          <w:p>
            <w:r/>
            <w:r>
              <w:rPr>
                <w:rFonts w:ascii="Aptos" w:hAnsi="Aptos"/>
                <w:b/>
                <w:i w:val="0"/>
                <w:color w:val="07111F"/>
                <w:sz w:val="19"/>
              </w:rPr>
              <w:t>What are public IDs vs private keys?</w:t>
            </w:r>
          </w:p>
        </w:tc>
        <w:tc>
          <w:tcPr>
            <w:tcW w:type="dxa" w:w="4968"/>
            <w:shd w:fill="FFFFFF"/>
            <w:tcBorders>
              <w:top w:val="single" w:sz="6" w:space="0" w:color="D9E2EF"/>
              <w:left w:val="single" w:sz="6" w:space="0" w:color="D9E2EF"/>
              <w:bottom w:val="single" w:sz="6" w:space="0" w:color="D9E2EF"/>
              <w:right w:val="single" w:sz="6" w:space="0" w:color="D9E2EF"/>
            </w:tcBorders>
          </w:tcPr>
          <w:p>
            <w:r/>
            <w:r>
              <w:rPr>
                <w:rFonts w:ascii="Aptos" w:hAnsi="Aptos"/>
                <w:b w:val="0"/>
                <w:i w:val="0"/>
                <w:color w:val="111827"/>
                <w:sz w:val="19"/>
              </w:rPr>
              <w:t>Meta Pixel ID and Google Ads conversion ID are public implementation IDs. TRACK_API_KEY and LEAD_INGEST_KEY are private and must stay in environment variables.</w:t>
            </w:r>
          </w:p>
        </w:tc>
      </w:tr>
      <w:tr>
        <w:tc>
          <w:tcPr>
            <w:tcW w:type="dxa" w:w="4968"/>
            <w:shd w:fill="F7FAFD"/>
            <w:tcBorders>
              <w:top w:val="single" w:sz="6" w:space="0" w:color="D9E2EF"/>
              <w:left w:val="single" w:sz="6" w:space="0" w:color="D9E2EF"/>
              <w:bottom w:val="single" w:sz="6" w:space="0" w:color="D9E2EF"/>
              <w:right w:val="single" w:sz="6" w:space="0" w:color="D9E2EF"/>
            </w:tcBorders>
          </w:tcPr>
          <w:p>
            <w:r/>
            <w:r>
              <w:rPr>
                <w:rFonts w:ascii="Aptos" w:hAnsi="Aptos"/>
                <w:b/>
                <w:i w:val="0"/>
                <w:color w:val="07111F"/>
                <w:sz w:val="19"/>
              </w:rPr>
              <w:t>What is the strongest technical part?</w:t>
            </w:r>
          </w:p>
        </w:tc>
        <w:tc>
          <w:tcPr>
            <w:tcW w:type="dxa" w:w="4968"/>
            <w:shd w:fill="F7FAFD"/>
            <w:tcBorders>
              <w:top w:val="single" w:sz="6" w:space="0" w:color="D9E2EF"/>
              <w:left w:val="single" w:sz="6" w:space="0" w:color="D9E2EF"/>
              <w:bottom w:val="single" w:sz="6" w:space="0" w:color="D9E2EF"/>
              <w:right w:val="single" w:sz="6" w:space="0" w:color="D9E2EF"/>
            </w:tcBorders>
          </w:tcPr>
          <w:p>
            <w:r/>
            <w:r>
              <w:rPr>
                <w:rFonts w:ascii="Aptos" w:hAnsi="Aptos"/>
                <w:b w:val="0"/>
                <w:i w:val="0"/>
                <w:color w:val="111827"/>
                <w:sz w:val="19"/>
              </w:rPr>
              <w:t>The centralized tracking layer because it connects React, Streamlit, Meta, Google Ads, UTM attribution, and the internal dashboard without duplicating logic everywhere.</w:t>
            </w:r>
          </w:p>
        </w:tc>
      </w:tr>
      <w:tr>
        <w:tc>
          <w:tcPr>
            <w:tcW w:type="dxa" w:w="4968"/>
            <w:shd w:fill="FFFFFF"/>
            <w:tcBorders>
              <w:top w:val="single" w:sz="6" w:space="0" w:color="D9E2EF"/>
              <w:left w:val="single" w:sz="6" w:space="0" w:color="D9E2EF"/>
              <w:bottom w:val="single" w:sz="6" w:space="0" w:color="D9E2EF"/>
              <w:right w:val="single" w:sz="6" w:space="0" w:color="D9E2EF"/>
            </w:tcBorders>
          </w:tcPr>
          <w:p>
            <w:r/>
            <w:r>
              <w:rPr>
                <w:rFonts w:ascii="Aptos" w:hAnsi="Aptos"/>
                <w:b/>
                <w:i w:val="0"/>
                <w:color w:val="07111F"/>
                <w:sz w:val="19"/>
              </w:rPr>
              <w:t>What is pending for production?</w:t>
            </w:r>
          </w:p>
        </w:tc>
        <w:tc>
          <w:tcPr>
            <w:tcW w:type="dxa" w:w="4968"/>
            <w:shd w:fill="FFFFFF"/>
            <w:tcBorders>
              <w:top w:val="single" w:sz="6" w:space="0" w:color="D9E2EF"/>
              <w:left w:val="single" w:sz="6" w:space="0" w:color="D9E2EF"/>
              <w:bottom w:val="single" w:sz="6" w:space="0" w:color="D9E2EF"/>
              <w:right w:val="single" w:sz="6" w:space="0" w:color="D9E2EF"/>
            </w:tcBorders>
          </w:tcPr>
          <w:p>
            <w:r/>
            <w:r>
              <w:rPr>
                <w:rFonts w:ascii="Aptos" w:hAnsi="Aptos"/>
                <w:b w:val="0"/>
                <w:i w:val="0"/>
                <w:color w:val="111827"/>
                <w:sz w:val="19"/>
              </w:rPr>
              <w:t>Real WhatsApp number, final CRM/NeoDove routing, hosting decision for Streamlit, server-side Meta Conversion API, and approved product assets.</w:t>
            </w:r>
          </w:p>
        </w:tc>
      </w:tr>
    </w:tbl>
    <w:p>
      <w:pPr>
        <w:spacing w:before="280" w:after="100" w:line="269" w:lineRule="auto"/>
      </w:pPr>
      <w:r>
        <w:rPr>
          <w:rFonts w:ascii="Aptos" w:hAnsi="Aptos"/>
          <w:b/>
          <w:i w:val="0"/>
          <w:color w:val="07111F"/>
          <w:sz w:val="34"/>
        </w:rPr>
        <w:t>Closing line</w:t>
      </w:r>
    </w:p>
    <w:p>
      <w:pPr>
        <w:spacing w:before="0" w:after="120" w:line="269" w:lineRule="auto"/>
      </w:pPr>
      <w:r>
        <w:rPr>
          <w:rFonts w:ascii="Aptos" w:hAnsi="Aptos"/>
          <w:b w:val="0"/>
          <w:i w:val="0"/>
          <w:color w:val="111827"/>
          <w:sz w:val="21"/>
        </w:rPr>
        <w:t>To conclude, the project gives AHA Automotive a premium demo interface and a conversion-ready technical foundation. It connects design, compatibility logic, lead capture, deployment, and marketing analytics into one funnel that can be improved further for production campaigns.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