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20"/>
        <w:rPr/>
      </w:pPr>
      <w:r>
        <w:rPr/>
      </w:r>
    </w:p>
    <w:p>
      <w:pPr>
        <w:pStyle w:val="Normal"/>
        <w:spacing w:before="0" w:after="60"/>
        <w:jc w:val="center"/>
        <w:rPr/>
      </w:pPr>
      <w:r>
        <w:rPr>
          <w:rFonts w:eastAsia="Calibri" w:cs="Calibri"/>
          <w:b/>
          <w:bCs/>
          <w:color w:val="11887A"/>
          <w:spacing w:val="60"/>
          <w:sz w:val="20"/>
          <w:szCs w:val="20"/>
        </w:rPr>
        <w:t>CONCEPT APPROVAL PROPOSAL</w:t>
      </w:r>
    </w:p>
    <w:p>
      <w:pPr>
        <w:pStyle w:val="Normal"/>
        <w:spacing w:before="0" w:after="120"/>
        <w:jc w:val="center"/>
        <w:rPr/>
      </w:pPr>
      <w:r>
        <w:rPr/>
        <w:drawing>
          <wp:inline distT="0" distB="0" distL="0" distR="0">
            <wp:extent cx="1143000" cy="1314450"/>
            <wp:effectExtent l="0" t="0" r="0" b="0"/>
            <wp:docPr id="1" name="Promi" descr="Promi Prometheus EduAI study compan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omi" descr="Promi Prometheus EduAI study companion"/>
                    <pic:cNvPicPr>
                      <a:picLocks noChangeAspect="1" noChangeArrowheads="1"/>
                    </pic:cNvPicPr>
                  </pic:nvPicPr>
                  <pic:blipFill>
                    <a:blip r:embed="rId2"/>
                    <a:stretch>
                      <a:fillRect/>
                    </a:stretch>
                  </pic:blipFill>
                  <pic:spPr bwMode="auto">
                    <a:xfrm>
                      <a:off x="0" y="0"/>
                      <a:ext cx="1143000" cy="1314450"/>
                    </a:xfrm>
                    <a:prstGeom prst="rect">
                      <a:avLst/>
                    </a:prstGeom>
                  </pic:spPr>
                </pic:pic>
              </a:graphicData>
            </a:graphic>
          </wp:inline>
        </w:drawing>
      </w:r>
    </w:p>
    <w:p>
      <w:pPr>
        <w:pStyle w:val="Normal"/>
        <w:spacing w:before="0" w:after="40"/>
        <w:jc w:val="center"/>
        <w:rPr/>
      </w:pPr>
      <w:r>
        <w:rPr>
          <w:rFonts w:eastAsia="Cambria" w:cs="Cambria" w:ascii="Cambria" w:hAnsi="Cambria"/>
          <w:b/>
          <w:bCs/>
          <w:color w:val="141A3C"/>
          <w:sz w:val="64"/>
          <w:szCs w:val="64"/>
        </w:rPr>
        <w:t>Prometheus EduAI</w:t>
      </w:r>
    </w:p>
    <w:p>
      <w:pPr>
        <w:pStyle w:val="Normal"/>
        <w:spacing w:before="0" w:after="60"/>
        <w:jc w:val="center"/>
        <w:rPr/>
      </w:pPr>
      <w:r>
        <w:rPr>
          <w:rFonts w:eastAsia="Cambria" w:cs="Cambria" w:ascii="Cambria" w:hAnsi="Cambria"/>
          <w:i/>
          <w:iCs/>
          <w:color w:val="B9760A"/>
          <w:sz w:val="26"/>
          <w:szCs w:val="26"/>
        </w:rPr>
        <w:t>Smarter Learning.  Fairer Evaluation.  Stronger Integrity.</w:t>
      </w:r>
    </w:p>
    <w:p>
      <w:pPr>
        <w:pStyle w:val="Normal"/>
        <w:spacing w:lineRule="exact" w:line="300" w:before="0" w:after="30"/>
        <w:jc w:val="center"/>
        <w:rPr/>
      </w:pPr>
      <w:r>
        <w:rPr>
          <w:rFonts w:eastAsia="Calibri" w:cs="Calibri"/>
          <w:color w:val="6B7185"/>
          <w:sz w:val="22"/>
          <w:szCs w:val="22"/>
        </w:rPr>
        <w:t>An AI powered academic intelligence platform proposed for Prometheus School to strengthen learning, evaluation and academic integrity.</w:t>
      </w:r>
    </w:p>
    <w:p>
      <w:pPr>
        <w:pStyle w:val="Normal"/>
        <w:spacing w:before="0" w:after="900"/>
        <w:rPr/>
      </w:pPr>
      <w:r>
        <w:rPr/>
      </w:r>
    </w:p>
    <w:tbl>
      <w:tblPr>
        <w:tblW w:w="5400" w:type="dxa"/>
        <w:jc w:val="center"/>
        <w:tblInd w:w="0" w:type="dxa"/>
        <w:tblLayout w:type="fixed"/>
        <w:tblCellMar>
          <w:top w:w="40" w:type="dxa"/>
          <w:left w:w="0" w:type="dxa"/>
          <w:bottom w:w="40" w:type="dxa"/>
          <w:right w:w="120" w:type="dxa"/>
        </w:tblCellMar>
      </w:tblPr>
      <w:tblGrid>
        <w:gridCol w:w="1900"/>
        <w:gridCol w:w="3499"/>
      </w:tblGrid>
      <w:tr>
        <w:trPr/>
        <w:tc>
          <w:tcPr>
            <w:tcW w:w="1900" w:type="dxa"/>
            <w:tcBorders/>
          </w:tcPr>
          <w:p>
            <w:pPr>
              <w:pStyle w:val="Normal"/>
              <w:rPr/>
            </w:pPr>
            <w:r>
              <w:rPr>
                <w:color w:val="6B7185"/>
                <w:sz w:val="19"/>
                <w:szCs w:val="19"/>
              </w:rPr>
              <w:t>Prepared by</w:t>
            </w:r>
          </w:p>
        </w:tc>
        <w:tc>
          <w:tcPr>
            <w:tcW w:w="3499" w:type="dxa"/>
            <w:tcBorders/>
            <w:tcMar>
              <w:right w:w="0" w:type="dxa"/>
            </w:tcMar>
          </w:tcPr>
          <w:p>
            <w:pPr>
              <w:pStyle w:val="Normal"/>
              <w:rPr/>
            </w:pPr>
            <w:r>
              <w:rPr>
                <w:b/>
                <w:bCs/>
                <w:color w:val="141A3C"/>
                <w:sz w:val="20"/>
                <w:szCs w:val="20"/>
              </w:rPr>
              <w:t>Mukesh Sharma</w:t>
            </w:r>
          </w:p>
        </w:tc>
      </w:tr>
      <w:tr>
        <w:trPr/>
        <w:tc>
          <w:tcPr>
            <w:tcW w:w="1900" w:type="dxa"/>
            <w:tcBorders/>
          </w:tcPr>
          <w:p>
            <w:pPr>
              <w:pStyle w:val="Normal"/>
              <w:rPr/>
            </w:pPr>
            <w:r>
              <w:rPr>
                <w:color w:val="6B7185"/>
                <w:sz w:val="19"/>
                <w:szCs w:val="19"/>
              </w:rPr>
              <w:t>Designation</w:t>
            </w:r>
          </w:p>
        </w:tc>
        <w:tc>
          <w:tcPr>
            <w:tcW w:w="3499" w:type="dxa"/>
            <w:tcBorders/>
            <w:tcMar>
              <w:right w:w="0" w:type="dxa"/>
            </w:tcMar>
          </w:tcPr>
          <w:p>
            <w:pPr>
              <w:pStyle w:val="Normal"/>
              <w:rPr/>
            </w:pPr>
            <w:r>
              <w:rPr>
                <w:b/>
                <w:bCs/>
                <w:color w:val="141A3C"/>
                <w:sz w:val="20"/>
                <w:szCs w:val="20"/>
              </w:rPr>
              <w:t>Founder Chairperson &amp; Head of School</w:t>
            </w:r>
          </w:p>
        </w:tc>
      </w:tr>
      <w:tr>
        <w:trPr/>
        <w:tc>
          <w:tcPr>
            <w:tcW w:w="1900" w:type="dxa"/>
            <w:tcBorders/>
          </w:tcPr>
          <w:p>
            <w:pPr>
              <w:pStyle w:val="Normal"/>
              <w:rPr/>
            </w:pPr>
            <w:r>
              <w:rPr>
                <w:color w:val="6B7185"/>
                <w:sz w:val="19"/>
                <w:szCs w:val="19"/>
              </w:rPr>
              <w:t>Institution</w:t>
            </w:r>
          </w:p>
        </w:tc>
        <w:tc>
          <w:tcPr>
            <w:tcW w:w="3499" w:type="dxa"/>
            <w:tcBorders/>
            <w:tcMar>
              <w:right w:w="0" w:type="dxa"/>
            </w:tcMar>
          </w:tcPr>
          <w:p>
            <w:pPr>
              <w:pStyle w:val="Normal"/>
              <w:rPr/>
            </w:pPr>
            <w:r>
              <w:rPr>
                <w:b/>
                <w:bCs/>
                <w:color w:val="141A3C"/>
                <w:sz w:val="20"/>
                <w:szCs w:val="20"/>
              </w:rPr>
              <w:t>Prometheus School, Noida</w:t>
            </w:r>
          </w:p>
        </w:tc>
      </w:tr>
      <w:tr>
        <w:trPr/>
        <w:tc>
          <w:tcPr>
            <w:tcW w:w="1900" w:type="dxa"/>
            <w:tcBorders/>
          </w:tcPr>
          <w:p>
            <w:pPr>
              <w:pStyle w:val="Normal"/>
              <w:rPr/>
            </w:pPr>
            <w:r>
              <w:rPr>
                <w:color w:val="6B7185"/>
                <w:sz w:val="19"/>
                <w:szCs w:val="19"/>
              </w:rPr>
              <w:t>Document</w:t>
            </w:r>
          </w:p>
        </w:tc>
        <w:tc>
          <w:tcPr>
            <w:tcW w:w="3499" w:type="dxa"/>
            <w:tcBorders/>
            <w:tcMar>
              <w:right w:w="0" w:type="dxa"/>
            </w:tcMar>
          </w:tcPr>
          <w:p>
            <w:pPr>
              <w:pStyle w:val="Normal"/>
              <w:rPr/>
            </w:pPr>
            <w:r>
              <w:rPr>
                <w:b/>
                <w:bCs/>
                <w:color w:val="141A3C"/>
                <w:sz w:val="20"/>
                <w:szCs w:val="20"/>
              </w:rPr>
              <w:t>Concept proposal for management review</w:t>
            </w:r>
          </w:p>
        </w:tc>
      </w:tr>
      <w:tr>
        <w:trPr/>
        <w:tc>
          <w:tcPr>
            <w:tcW w:w="1900" w:type="dxa"/>
            <w:tcBorders/>
          </w:tcPr>
          <w:p>
            <w:pPr>
              <w:pStyle w:val="Normal"/>
              <w:rPr/>
            </w:pPr>
            <w:r>
              <w:rPr>
                <w:color w:val="6B7185"/>
                <w:sz w:val="19"/>
                <w:szCs w:val="19"/>
              </w:rPr>
              <w:t>Status</w:t>
            </w:r>
          </w:p>
        </w:tc>
        <w:tc>
          <w:tcPr>
            <w:tcW w:w="3499" w:type="dxa"/>
            <w:tcBorders/>
            <w:tcMar>
              <w:right w:w="0" w:type="dxa"/>
            </w:tcMar>
          </w:tcPr>
          <w:p>
            <w:pPr>
              <w:pStyle w:val="Normal"/>
              <w:rPr/>
            </w:pPr>
            <w:r>
              <w:rPr>
                <w:b/>
                <w:bCs/>
                <w:color w:val="141A3C"/>
                <w:sz w:val="20"/>
                <w:szCs w:val="20"/>
              </w:rPr>
              <w:t>Awaiting approval to proceed</w:t>
            </w:r>
          </w:p>
        </w:tc>
      </w:tr>
    </w:tbl>
    <w:p>
      <w:pPr>
        <w:sectPr>
          <w:type w:val="nextPage"/>
          <w:pgSz w:w="12240" w:h="15840"/>
          <w:pgMar w:left="1440" w:right="1440" w:gutter="0" w:header="0" w:top="1440" w:footer="0" w:bottom="1440"/>
          <w:pgNumType w:fmt="decimal"/>
          <w:formProt w:val="false"/>
          <w:textDirection w:val="lrTb"/>
          <w:docGrid w:type="default" w:linePitch="360" w:charSpace="4096"/>
        </w:sectPr>
      </w:pPr>
      <w:r>
        <w:rPr/>
      </w:r>
      <w:r>
        <w:br w:type="page"/>
      </w:r>
    </w:p>
    <w:p>
      <w:pPr>
        <w:pStyle w:val="Normal"/>
        <w:spacing w:before="0" w:after="120"/>
        <w:rPr/>
      </w:pPr>
      <w:r>
        <w:rPr>
          <w:rFonts w:eastAsia="Cambria" w:cs="Cambria" w:ascii="Cambria" w:hAnsi="Cambria"/>
          <w:b/>
          <w:bCs/>
          <w:color w:val="141A3C"/>
          <w:sz w:val="30"/>
          <w:szCs w:val="30"/>
        </w:rPr>
        <w:t>Table of 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"1-2" \h</w:instrText>
            <w:fldChar w:fldCharType="separate"/>
          </w:r>
          <w:hyperlink w:anchor="__RefHeading___Toc321_3779541937">
            <w:r>
              <w:rPr>
                <w:rStyle w:val="IndexLink"/>
              </w:rPr>
              <w:t>1. Executive Summary</w:t>
              <w:tab/>
              <w:t>3</w:t>
            </w:r>
          </w:hyperlink>
        </w:p>
        <w:p>
          <w:pPr>
            <w:pStyle w:val="TOC1"/>
            <w:tabs>
              <w:tab w:val="clear" w:pos="9360"/>
              <w:tab w:val="right" w:pos="9359" w:leader="dot"/>
            </w:tabs>
            <w:rPr/>
          </w:pPr>
          <w:hyperlink w:anchor="__RefHeading___Toc323_3779541937">
            <w:r>
              <w:rPr>
                <w:rStyle w:val="IndexLink"/>
              </w:rPr>
              <w:t>2. Background and Need</w:t>
              <w:tab/>
              <w:t>3</w:t>
            </w:r>
          </w:hyperlink>
        </w:p>
        <w:p>
          <w:pPr>
            <w:pStyle w:val="TOC1"/>
            <w:tabs>
              <w:tab w:val="clear" w:pos="9360"/>
              <w:tab w:val="right" w:pos="9359" w:leader="dot"/>
            </w:tabs>
            <w:rPr/>
          </w:pPr>
          <w:hyperlink w:anchor="__RefHeading___Toc325_3779541937">
            <w:r>
              <w:rPr>
                <w:rStyle w:val="IndexLink"/>
              </w:rPr>
              <w:t>3. Problem Statement</w:t>
              <w:tab/>
              <w:t>3</w:t>
            </w:r>
          </w:hyperlink>
        </w:p>
        <w:p>
          <w:pPr>
            <w:pStyle w:val="TOC1"/>
            <w:tabs>
              <w:tab w:val="clear" w:pos="9360"/>
              <w:tab w:val="right" w:pos="9359" w:leader="dot"/>
            </w:tabs>
            <w:rPr/>
          </w:pPr>
          <w:hyperlink w:anchor="__RefHeading___Toc327_3779541937">
            <w:r>
              <w:rPr>
                <w:rStyle w:val="IndexLink"/>
              </w:rPr>
              <w:t>4. Vision of Prometheus EduAI</w:t>
              <w:tab/>
              <w:t>4</w:t>
            </w:r>
          </w:hyperlink>
        </w:p>
        <w:p>
          <w:pPr>
            <w:pStyle w:val="TOC1"/>
            <w:tabs>
              <w:tab w:val="clear" w:pos="9360"/>
              <w:tab w:val="right" w:pos="9359" w:leader="dot"/>
            </w:tabs>
            <w:rPr/>
          </w:pPr>
          <w:hyperlink w:anchor="__RefHeading___Toc329_3779541937">
            <w:r>
              <w:rPr>
                <w:rStyle w:val="IndexLink"/>
              </w:rPr>
              <w:t>5. Core Objectives</w:t>
              <w:tab/>
              <w:t>4</w:t>
            </w:r>
          </w:hyperlink>
        </w:p>
        <w:p>
          <w:pPr>
            <w:pStyle w:val="TOC1"/>
            <w:tabs>
              <w:tab w:val="clear" w:pos="9360"/>
              <w:tab w:val="right" w:pos="9359" w:leader="dot"/>
            </w:tabs>
            <w:rPr/>
          </w:pPr>
          <w:hyperlink w:anchor="__RefHeading___Toc331_3779541937">
            <w:r>
              <w:rPr>
                <w:rStyle w:val="IndexLink"/>
              </w:rPr>
              <w:t>6. Target Users</w:t>
              <w:tab/>
              <w:t>4</w:t>
            </w:r>
          </w:hyperlink>
        </w:p>
        <w:p>
          <w:pPr>
            <w:pStyle w:val="TOC1"/>
            <w:tabs>
              <w:tab w:val="clear" w:pos="9360"/>
              <w:tab w:val="right" w:pos="9359" w:leader="dot"/>
            </w:tabs>
            <w:rPr/>
          </w:pPr>
          <w:hyperlink w:anchor="__RefHeading___Toc333_3779541937">
            <w:r>
              <w:rPr>
                <w:rStyle w:val="IndexLink"/>
              </w:rPr>
              <w:t>7. Complete Feature Modules</w:t>
              <w:tab/>
              <w:t>5</w:t>
            </w:r>
          </w:hyperlink>
        </w:p>
        <w:p>
          <w:pPr>
            <w:pStyle w:val="TOC2"/>
            <w:tabs>
              <w:tab w:val="clear" w:pos="9077"/>
              <w:tab w:val="right" w:pos="9359" w:leader="dot"/>
            </w:tabs>
            <w:rPr/>
          </w:pPr>
          <w:hyperlink w:anchor="__RefHeading___Toc335_3779541937">
            <w:r>
              <w:rPr>
                <w:rStyle w:val="IndexLink"/>
              </w:rPr>
              <w:t>7.1 Study Library</w:t>
              <w:tab/>
              <w:t>5</w:t>
            </w:r>
          </w:hyperlink>
        </w:p>
        <w:p>
          <w:pPr>
            <w:pStyle w:val="TOC2"/>
            <w:tabs>
              <w:tab w:val="clear" w:pos="9077"/>
              <w:tab w:val="right" w:pos="9359" w:leader="dot"/>
            </w:tabs>
            <w:rPr/>
          </w:pPr>
          <w:hyperlink w:anchor="__RefHeading___Toc337_3779541937">
            <w:r>
              <w:rPr>
                <w:rStyle w:val="IndexLink"/>
              </w:rPr>
              <w:t>7.2 AI Doubt Assistant</w:t>
              <w:tab/>
              <w:t>5</w:t>
            </w:r>
          </w:hyperlink>
        </w:p>
        <w:p>
          <w:pPr>
            <w:pStyle w:val="TOC2"/>
            <w:tabs>
              <w:tab w:val="clear" w:pos="9077"/>
              <w:tab w:val="right" w:pos="9359" w:leader="dot"/>
            </w:tabs>
            <w:rPr/>
          </w:pPr>
          <w:hyperlink w:anchor="__RefHeading___Toc339_3779541937">
            <w:r>
              <w:rPr>
                <w:rStyle w:val="IndexLink"/>
              </w:rPr>
              <w:t>7.3 EduAI Mock Lab</w:t>
              <w:tab/>
              <w:t>5</w:t>
            </w:r>
          </w:hyperlink>
        </w:p>
        <w:p>
          <w:pPr>
            <w:pStyle w:val="TOC2"/>
            <w:tabs>
              <w:tab w:val="clear" w:pos="9077"/>
              <w:tab w:val="right" w:pos="9359" w:leader="dot"/>
            </w:tabs>
            <w:rPr/>
          </w:pPr>
          <w:hyperlink w:anchor="__RefHeading___Toc341_3779541937">
            <w:r>
              <w:rPr>
                <w:rStyle w:val="IndexLink"/>
              </w:rPr>
              <w:t>7.4 AI Self Analysis Engine</w:t>
              <w:tab/>
              <w:t>5</w:t>
            </w:r>
          </w:hyperlink>
        </w:p>
        <w:p>
          <w:pPr>
            <w:pStyle w:val="TOC2"/>
            <w:tabs>
              <w:tab w:val="clear" w:pos="9077"/>
              <w:tab w:val="right" w:pos="9359" w:leader="dot"/>
            </w:tabs>
            <w:rPr/>
          </w:pPr>
          <w:hyperlink w:anchor="__RefHeading___Toc343_3779541937">
            <w:r>
              <w:rPr>
                <w:rStyle w:val="IndexLink"/>
              </w:rPr>
              <w:t>7.5 Mistake Notebook</w:t>
              <w:tab/>
              <w:t>5</w:t>
            </w:r>
          </w:hyperlink>
        </w:p>
        <w:p>
          <w:pPr>
            <w:pStyle w:val="TOC2"/>
            <w:tabs>
              <w:tab w:val="clear" w:pos="9077"/>
              <w:tab w:val="right" w:pos="9359" w:leader="dot"/>
            </w:tabs>
            <w:rPr/>
          </w:pPr>
          <w:hyperlink w:anchor="__RefHeading___Toc345_3779541937">
            <w:r>
              <w:rPr>
                <w:rStyle w:val="IndexLink"/>
              </w:rPr>
              <w:t>7.6 EduAI Arena</w:t>
              <w:tab/>
              <w:t>5</w:t>
            </w:r>
          </w:hyperlink>
        </w:p>
        <w:p>
          <w:pPr>
            <w:pStyle w:val="TOC2"/>
            <w:tabs>
              <w:tab w:val="clear" w:pos="9077"/>
              <w:tab w:val="right" w:pos="9359" w:leader="dot"/>
            </w:tabs>
            <w:rPr/>
          </w:pPr>
          <w:hyperlink w:anchor="__RefHeading___Toc347_3779541937">
            <w:r>
              <w:rPr>
                <w:rStyle w:val="IndexLink"/>
              </w:rPr>
              <w:t>7.7 Topper Strategy Breakdown</w:t>
              <w:tab/>
              <w:t>6</w:t>
            </w:r>
          </w:hyperlink>
        </w:p>
        <w:p>
          <w:pPr>
            <w:pStyle w:val="TOC2"/>
            <w:tabs>
              <w:tab w:val="clear" w:pos="9077"/>
              <w:tab w:val="right" w:pos="9359" w:leader="dot"/>
            </w:tabs>
            <w:rPr/>
          </w:pPr>
          <w:hyperlink w:anchor="__RefHeading___Toc349_3779541937">
            <w:r>
              <w:rPr>
                <w:rStyle w:val="IndexLink"/>
              </w:rPr>
              <w:t>7.8 AI Marking Assistant</w:t>
              <w:tab/>
              <w:t>6</w:t>
            </w:r>
          </w:hyperlink>
        </w:p>
        <w:p>
          <w:pPr>
            <w:pStyle w:val="TOC2"/>
            <w:tabs>
              <w:tab w:val="clear" w:pos="9077"/>
              <w:tab w:val="right" w:pos="9359" w:leader="dot"/>
            </w:tabs>
            <w:rPr/>
          </w:pPr>
          <w:hyperlink w:anchor="__RefHeading___Toc351_3779541937">
            <w:r>
              <w:rPr>
                <w:rStyle w:val="IndexLink"/>
              </w:rPr>
              <w:t>7.9 Rubric Based Evaluation</w:t>
              <w:tab/>
              <w:t>6</w:t>
            </w:r>
          </w:hyperlink>
        </w:p>
        <w:p>
          <w:pPr>
            <w:pStyle w:val="TOC2"/>
            <w:tabs>
              <w:tab w:val="clear" w:pos="9077"/>
              <w:tab w:val="right" w:pos="9359" w:leader="dot"/>
            </w:tabs>
            <w:rPr/>
          </w:pPr>
          <w:hyperlink w:anchor="__RefHeading___Toc353_3779541937">
            <w:r>
              <w:rPr>
                <w:rStyle w:val="IndexLink"/>
              </w:rPr>
              <w:t>7.10 ExamVault, the Digital Answer Script Lock</w:t>
              <w:tab/>
              <w:t>6</w:t>
            </w:r>
          </w:hyperlink>
        </w:p>
        <w:p>
          <w:pPr>
            <w:pStyle w:val="TOC2"/>
            <w:tabs>
              <w:tab w:val="clear" w:pos="9077"/>
              <w:tab w:val="right" w:pos="9359" w:leader="dot"/>
            </w:tabs>
            <w:rPr/>
          </w:pPr>
          <w:hyperlink w:anchor="__RefHeading___Toc355_3779541937">
            <w:r>
              <w:rPr>
                <w:rStyle w:val="IndexLink"/>
              </w:rPr>
              <w:t>7.11 Re evaluation Portal</w:t>
              <w:tab/>
              <w:t>6</w:t>
            </w:r>
          </w:hyperlink>
        </w:p>
        <w:p>
          <w:pPr>
            <w:pStyle w:val="TOC2"/>
            <w:tabs>
              <w:tab w:val="clear" w:pos="9077"/>
              <w:tab w:val="right" w:pos="9359" w:leader="dot"/>
            </w:tabs>
            <w:rPr/>
          </w:pPr>
          <w:hyperlink w:anchor="__RefHeading___Toc357_3779541937">
            <w:r>
              <w:rPr>
                <w:rStyle w:val="IndexLink"/>
              </w:rPr>
              <w:t>7.12 HOD and Admin Dashboard</w:t>
              <w:tab/>
              <w:t>7</w:t>
            </w:r>
          </w:hyperlink>
        </w:p>
        <w:p>
          <w:pPr>
            <w:pStyle w:val="TOC2"/>
            <w:tabs>
              <w:tab w:val="clear" w:pos="9077"/>
              <w:tab w:val="right" w:pos="9359" w:leader="dot"/>
            </w:tabs>
            <w:rPr/>
          </w:pPr>
          <w:hyperlink w:anchor="__RefHeading___Toc359_3779541937">
            <w:r>
              <w:rPr>
                <w:rStyle w:val="IndexLink"/>
              </w:rPr>
              <w:t>7.13 Promi, the EduAI Study Companion</w:t>
              <w:tab/>
              <w:t>7</w:t>
            </w:r>
          </w:hyperlink>
        </w:p>
        <w:p>
          <w:pPr>
            <w:pStyle w:val="TOC1"/>
            <w:tabs>
              <w:tab w:val="clear" w:pos="9360"/>
              <w:tab w:val="right" w:pos="9359" w:leader="dot"/>
            </w:tabs>
            <w:rPr/>
          </w:pPr>
          <w:hyperlink w:anchor="__RefHeading___Toc361_3779541937">
            <w:r>
              <w:rPr>
                <w:rStyle w:val="IndexLink"/>
              </w:rPr>
              <w:t>8. Teacher Workflow</w:t>
              <w:tab/>
              <w:t>7</w:t>
            </w:r>
          </w:hyperlink>
        </w:p>
        <w:p>
          <w:pPr>
            <w:pStyle w:val="TOC1"/>
            <w:tabs>
              <w:tab w:val="clear" w:pos="9360"/>
              <w:tab w:val="right" w:pos="9359" w:leader="dot"/>
            </w:tabs>
            <w:rPr/>
          </w:pPr>
          <w:hyperlink w:anchor="__RefHeading___Toc363_3779541937">
            <w:r>
              <w:rPr>
                <w:rStyle w:val="IndexLink"/>
              </w:rPr>
              <w:t>9. Student Workflow</w:t>
              <w:tab/>
              <w:t>7</w:t>
            </w:r>
          </w:hyperlink>
        </w:p>
        <w:p>
          <w:pPr>
            <w:pStyle w:val="TOC1"/>
            <w:tabs>
              <w:tab w:val="clear" w:pos="9360"/>
              <w:tab w:val="right" w:pos="9359" w:leader="dot"/>
            </w:tabs>
            <w:rPr/>
          </w:pPr>
          <w:hyperlink w:anchor="__RefHeading___Toc365_3779541937">
            <w:r>
              <w:rPr>
                <w:rStyle w:val="IndexLink"/>
              </w:rPr>
              <w:t>10. HOD and Admin Workflow</w:t>
              <w:tab/>
              <w:t>7</w:t>
            </w:r>
          </w:hyperlink>
        </w:p>
        <w:p>
          <w:pPr>
            <w:pStyle w:val="TOC1"/>
            <w:tabs>
              <w:tab w:val="clear" w:pos="9360"/>
              <w:tab w:val="right" w:pos="9359" w:leader="dot"/>
            </w:tabs>
            <w:rPr/>
          </w:pPr>
          <w:hyperlink w:anchor="__RefHeading___Toc367_3779541937">
            <w:r>
              <w:rPr>
                <w:rStyle w:val="IndexLink"/>
              </w:rPr>
              <w:t>11. Academic Integrity Layer</w:t>
              <w:tab/>
              <w:t>8</w:t>
            </w:r>
          </w:hyperlink>
        </w:p>
        <w:p>
          <w:pPr>
            <w:pStyle w:val="TOC1"/>
            <w:tabs>
              <w:tab w:val="clear" w:pos="9360"/>
              <w:tab w:val="right" w:pos="9359" w:leader="dot"/>
            </w:tabs>
            <w:rPr/>
          </w:pPr>
          <w:hyperlink w:anchor="__RefHeading___Toc369_3779541937">
            <w:r>
              <w:rPr>
                <w:rStyle w:val="IndexLink"/>
              </w:rPr>
              <w:t>12. AI Evaluation Process</w:t>
              <w:tab/>
              <w:t>8</w:t>
            </w:r>
          </w:hyperlink>
        </w:p>
        <w:p>
          <w:pPr>
            <w:pStyle w:val="TOC1"/>
            <w:tabs>
              <w:tab w:val="clear" w:pos="9360"/>
              <w:tab w:val="right" w:pos="9359" w:leader="dot"/>
            </w:tabs>
            <w:rPr/>
          </w:pPr>
          <w:hyperlink w:anchor="__RefHeading___Toc371_3779541937">
            <w:r>
              <w:rPr>
                <w:rStyle w:val="IndexLink"/>
              </w:rPr>
              <w:t>13. Mock Test and Improvement Process</w:t>
              <w:tab/>
              <w:t>8</w:t>
            </w:r>
          </w:hyperlink>
        </w:p>
        <w:p>
          <w:pPr>
            <w:pStyle w:val="TOC1"/>
            <w:tabs>
              <w:tab w:val="clear" w:pos="9360"/>
              <w:tab w:val="right" w:pos="9359" w:leader="dot"/>
            </w:tabs>
            <w:rPr/>
          </w:pPr>
          <w:hyperlink w:anchor="__RefHeading___Toc373_3779541937">
            <w:r>
              <w:rPr>
                <w:rStyle w:val="IndexLink"/>
              </w:rPr>
              <w:t>14. Gamification and Healthy Competition</w:t>
              <w:tab/>
              <w:t>9</w:t>
            </w:r>
          </w:hyperlink>
        </w:p>
        <w:p>
          <w:pPr>
            <w:pStyle w:val="TOC1"/>
            <w:tabs>
              <w:tab w:val="clear" w:pos="9360"/>
              <w:tab w:val="right" w:pos="9359" w:leader="dot"/>
            </w:tabs>
            <w:rPr/>
          </w:pPr>
          <w:hyperlink w:anchor="__RefHeading___Toc375_3779541937">
            <w:r>
              <w:rPr>
                <w:rStyle w:val="IndexLink"/>
              </w:rPr>
              <w:t>15. User Experience and Animated Companion</w:t>
              <w:tab/>
              <w:t>9</w:t>
            </w:r>
          </w:hyperlink>
        </w:p>
        <w:p>
          <w:pPr>
            <w:pStyle w:val="TOC1"/>
            <w:tabs>
              <w:tab w:val="clear" w:pos="9360"/>
              <w:tab w:val="right" w:pos="9359" w:leader="dot"/>
            </w:tabs>
            <w:rPr/>
          </w:pPr>
          <w:hyperlink w:anchor="__RefHeading___Toc377_3779541937">
            <w:r>
              <w:rPr>
                <w:rStyle w:val="IndexLink"/>
              </w:rPr>
              <w:t>16. Benefits for Students</w:t>
              <w:tab/>
              <w:t>9</w:t>
            </w:r>
          </w:hyperlink>
        </w:p>
        <w:p>
          <w:pPr>
            <w:pStyle w:val="TOC1"/>
            <w:tabs>
              <w:tab w:val="clear" w:pos="9360"/>
              <w:tab w:val="right" w:pos="9359" w:leader="dot"/>
            </w:tabs>
            <w:rPr/>
          </w:pPr>
          <w:hyperlink w:anchor="__RefHeading___Toc379_3779541937">
            <w:r>
              <w:rPr>
                <w:rStyle w:val="IndexLink"/>
              </w:rPr>
              <w:t>17. Benefits for Teachers</w:t>
              <w:tab/>
              <w:t>9</w:t>
            </w:r>
          </w:hyperlink>
        </w:p>
        <w:p>
          <w:pPr>
            <w:pStyle w:val="TOC1"/>
            <w:tabs>
              <w:tab w:val="clear" w:pos="9360"/>
              <w:tab w:val="right" w:pos="9359" w:leader="dot"/>
            </w:tabs>
            <w:rPr/>
          </w:pPr>
          <w:hyperlink w:anchor="__RefHeading___Toc381_3779541937">
            <w:r>
              <w:rPr>
                <w:rStyle w:val="IndexLink"/>
              </w:rPr>
              <w:t>18. Benefits for Management</w:t>
              <w:tab/>
              <w:t>10</w:t>
            </w:r>
          </w:hyperlink>
        </w:p>
        <w:p>
          <w:pPr>
            <w:pStyle w:val="TOC1"/>
            <w:tabs>
              <w:tab w:val="clear" w:pos="9360"/>
              <w:tab w:val="right" w:pos="9359" w:leader="dot"/>
            </w:tabs>
            <w:rPr/>
          </w:pPr>
          <w:hyperlink w:anchor="__RefHeading___Toc383_3779541937">
            <w:r>
              <w:rPr>
                <w:rStyle w:val="IndexLink"/>
              </w:rPr>
              <w:t>19. Safety, Privacy and Human Control</w:t>
              <w:tab/>
              <w:t>10</w:t>
            </w:r>
          </w:hyperlink>
        </w:p>
        <w:p>
          <w:pPr>
            <w:pStyle w:val="TOC1"/>
            <w:tabs>
              <w:tab w:val="clear" w:pos="9360"/>
              <w:tab w:val="right" w:pos="9359" w:leader="dot"/>
            </w:tabs>
            <w:rPr/>
          </w:pPr>
          <w:hyperlink w:anchor="__RefHeading___Toc385_3779541937">
            <w:r>
              <w:rPr>
                <w:rStyle w:val="IndexLink"/>
              </w:rPr>
              <w:t>20. Future Expansion</w:t>
              <w:tab/>
              <w:t>10</w:t>
            </w:r>
          </w:hyperlink>
        </w:p>
        <w:p>
          <w:pPr>
            <w:pStyle w:val="TOC1"/>
            <w:tabs>
              <w:tab w:val="clear" w:pos="9360"/>
              <w:tab w:val="right" w:pos="9359" w:leader="dot"/>
            </w:tabs>
            <w:rPr/>
          </w:pPr>
          <w:hyperlink w:anchor="__RefHeading___Toc387_3779541937">
            <w:r>
              <w:rPr>
                <w:rStyle w:val="IndexLink"/>
              </w:rPr>
              <w:t>21. Suggested Implementation Phases</w:t>
              <w:tab/>
              <w:t>10</w:t>
            </w:r>
          </w:hyperlink>
        </w:p>
        <w:p>
          <w:pPr>
            <w:pStyle w:val="TOC1"/>
            <w:tabs>
              <w:tab w:val="clear" w:pos="9360"/>
              <w:tab w:val="right" w:pos="9359" w:leader="dot"/>
            </w:tabs>
            <w:rPr/>
          </w:pPr>
          <w:hyperlink w:anchor="__RefHeading___Toc389_3779541937">
            <w:r>
              <w:rPr>
                <w:rStyle w:val="IndexLink"/>
              </w:rPr>
              <w:t>22. Conclusion</w:t>
              <w:tab/>
              <w:t>11</w:t>
            </w:r>
          </w:hyperlink>
          <w:r>
            <w:rPr>
              <w:rStyle w:val="IndexLink"/>
            </w:rPr>
            <w:fldChar w:fldCharType="end"/>
          </w:r>
        </w:p>
      </w:sdtContent>
    </w:sdt>
    <w:p>
      <w:pPr>
        <w:pStyle w:val="Normal"/>
        <w:rPr/>
      </w:pPr>
      <w:r>
        <w:rPr/>
      </w:r>
    </w:p>
    <w:p>
      <w:pPr>
        <w:sectPr>
          <w:type w:val="nextPage"/>
          <w:pgSz w:w="12240" w:h="15840"/>
          <w:pgMar w:left="1440" w:right="1440" w:gutter="0" w:header="0" w:top="1440" w:footer="0" w:bottom="1440"/>
          <w:pgNumType w:fmt="decimal"/>
          <w:formProt w:val="false"/>
          <w:textDirection w:val="lrTb"/>
          <w:docGrid w:type="default" w:linePitch="360" w:charSpace="4096"/>
        </w:sectPr>
      </w:pPr>
      <w:r>
        <w:rPr/>
      </w:r>
      <w:r>
        <w:br w:type="page"/>
      </w:r>
    </w:p>
    <w:p>
      <w:pPr>
        <w:pStyle w:val="Heading1"/>
        <w:rPr/>
      </w:pPr>
      <w:bookmarkStart w:id="0" w:name="__RefHeading___Toc321_3779541937"/>
      <w:bookmarkEnd w:id="0"/>
      <w:r>
        <w:rPr/>
        <w:t>1.  Executive Summary</w:t>
      </w:r>
    </w:p>
    <w:p>
      <w:pPr>
        <w:pStyle w:val="Normal"/>
        <w:spacing w:lineRule="exact" w:line="276" w:before="0" w:after="140"/>
        <w:rPr/>
      </w:pPr>
      <w:r>
        <w:rPr/>
        <w:t>Prometheus EduAI is a proposed AI powered academic intelligence platform for Prometheus School. The envisioned system brings learning resources, practice, assessment analysis, evaluation support and academic integrity together in one place, serving students, teachers, heads of department, academic coordinators and management from a single trusted source of academic data.</w:t>
      </w:r>
    </w:p>
    <w:p>
      <w:pPr>
        <w:pStyle w:val="Normal"/>
        <w:spacing w:lineRule="exact" w:line="276" w:before="0" w:after="140"/>
        <w:rPr/>
      </w:pPr>
      <w:r>
        <w:rPr/>
        <w:t>The platform is designed to assist teachers, not to replace them. Across every module the final academic judgement stays with the teacher. The role of artificial intelligence is to bring speed, consistency, transparency and evidence to work that is currently fragmented across many tools and handled largely by hand.</w:t>
      </w:r>
    </w:p>
    <w:p>
      <w:pPr>
        <w:pStyle w:val="Normal"/>
        <w:spacing w:lineRule="exact" w:line="276" w:before="0" w:after="140"/>
        <w:rPr/>
      </w:pPr>
      <w:r>
        <w:rPr/>
        <w:t xml:space="preserve">This document presents a concept for approval. </w:t>
      </w:r>
      <w:r>
        <w:rPr>
          <w:b w:val="false"/>
          <w:bCs w:val="false"/>
        </w:rPr>
        <w:t>It describes the vision, the proposed modules, the value for each user group and a phased path to a focused prototype. No part of the platform has been built. We are seeking in principle approval to proceed to detailed planning and a first prototype, beginning with the foundation modules.</w:t>
      </w:r>
    </w:p>
    <w:p>
      <w:pPr>
        <w:pStyle w:val="Heading1"/>
        <w:rPr/>
      </w:pPr>
      <w:bookmarkStart w:id="1" w:name="__RefHeading___Toc323_3779541937"/>
      <w:bookmarkEnd w:id="1"/>
      <w:r>
        <w:rPr/>
        <w:t>2.  Background and Need</w:t>
      </w:r>
    </w:p>
    <w:p>
      <w:pPr>
        <w:pStyle w:val="Normal"/>
        <w:spacing w:lineRule="exact" w:line="276" w:before="0" w:after="140"/>
        <w:rPr/>
      </w:pPr>
      <w:r>
        <w:rPr/>
        <w:t>Prometheus School was founded on a simple belief, that every child is a unique learner and deserves to be celebrated for that uniqueness. Our philosophy values fearless curiosity and authentic credentialing over performance in a single examination. As the school grows across its primary, lower secondary and senior stages, the volume of teaching material, practice, assessment and evaluation grows with it.</w:t>
      </w:r>
    </w:p>
    <w:p>
      <w:pPr>
        <w:pStyle w:val="Normal"/>
        <w:spacing w:lineRule="exact" w:line="276" w:before="0" w:after="140"/>
        <w:rPr/>
      </w:pPr>
      <w:r>
        <w:rPr/>
        <w:t>Today much of this work is managed across disconnected tools and through manual effort. Resources are spread across drives and folders. Mock test analysis is slow. Evaluation depends heavily on individual effort and can vary from teacher to teacher. Rechecking is difficult to manage with full transparency. Students often lack a single, engaging place that draws them back to practise consistently. Leadership does not have one live view of academic performance and integrity.</w:t>
      </w:r>
    </w:p>
    <w:p>
      <w:pPr>
        <w:pStyle w:val="Normal"/>
        <w:spacing w:lineRule="exact" w:line="276" w:before="0" w:after="140"/>
        <w:rPr/>
      </w:pPr>
      <w:r>
        <w:rPr/>
        <w:t>Prometheus EduAI is proposed to close these gaps in a way that is true to the school's philosophy, supportive of teachers and genuinely useful to students.</w:t>
      </w:r>
    </w:p>
    <w:p>
      <w:pPr>
        <w:pStyle w:val="Heading1"/>
        <w:rPr/>
      </w:pPr>
      <w:bookmarkStart w:id="2" w:name="__RefHeading___Toc325_3779541937"/>
      <w:bookmarkEnd w:id="2"/>
      <w:r>
        <w:rPr/>
        <w:t>3.  Problem Statement</w:t>
      </w:r>
    </w:p>
    <w:p>
      <w:pPr>
        <w:pStyle w:val="Normal"/>
        <w:spacing w:lineRule="exact" w:line="276" w:before="0" w:after="140"/>
        <w:rPr/>
      </w:pPr>
      <w:r>
        <w:rPr/>
        <w:t>The proposal responds to a set of connected challenges that the school experiences today:</w:t>
      </w:r>
    </w:p>
    <w:p>
      <w:pPr>
        <w:pStyle w:val="ListParagraph"/>
        <w:numPr>
          <w:ilvl w:val="0"/>
          <w:numId w:val="4"/>
        </w:numPr>
        <w:spacing w:lineRule="exact" w:line="268" w:before="0" w:after="70"/>
        <w:rPr/>
      </w:pPr>
      <w:r>
        <w:rPr>
          <w:b/>
          <w:bCs/>
        </w:rPr>
        <w:t xml:space="preserve">Scattered resources. </w:t>
      </w:r>
      <w:r>
        <w:rPr/>
        <w:t>Notes, papers, marking schemes and sample answers live in many places, which makes them hard for students to find when they need them.</w:t>
      </w:r>
    </w:p>
    <w:p>
      <w:pPr>
        <w:pStyle w:val="ListParagraph"/>
        <w:numPr>
          <w:ilvl w:val="0"/>
          <w:numId w:val="1"/>
        </w:numPr>
        <w:spacing w:lineRule="exact" w:line="268" w:before="0" w:after="70"/>
        <w:rPr/>
      </w:pPr>
      <w:r>
        <w:rPr>
          <w:b/>
          <w:bCs/>
        </w:rPr>
        <w:t xml:space="preserve">Slow paper analysis. </w:t>
      </w:r>
      <w:r>
        <w:rPr/>
        <w:t>After a test, students often wait several days to understand where and why they lost marks, by which time the learning moment has passed.</w:t>
      </w:r>
    </w:p>
    <w:p>
      <w:pPr>
        <w:pStyle w:val="ListParagraph"/>
        <w:numPr>
          <w:ilvl w:val="0"/>
          <w:numId w:val="1"/>
        </w:numPr>
        <w:spacing w:lineRule="exact" w:line="268" w:before="0" w:after="70"/>
        <w:rPr/>
      </w:pPr>
      <w:r>
        <w:rPr>
          <w:b/>
          <w:bCs/>
        </w:rPr>
        <w:t xml:space="preserve">Inconsistent marking. </w:t>
      </w:r>
      <w:r>
        <w:rPr/>
        <w:t>The same answer can be scored differently across teachers and sittings, which affects fairness and confidence.</w:t>
      </w:r>
    </w:p>
    <w:p>
      <w:pPr>
        <w:pStyle w:val="ListParagraph"/>
        <w:numPr>
          <w:ilvl w:val="0"/>
          <w:numId w:val="1"/>
        </w:numPr>
        <w:spacing w:lineRule="exact" w:line="268" w:before="0" w:after="70"/>
        <w:rPr/>
      </w:pPr>
      <w:r>
        <w:rPr>
          <w:b/>
          <w:bCs/>
        </w:rPr>
        <w:t xml:space="preserve">Rechecking risk. </w:t>
      </w:r>
      <w:r>
        <w:rPr/>
        <w:t>Physical answer scripts can be altered before re evaluation, which weakens trust in the rechecking process.</w:t>
      </w:r>
    </w:p>
    <w:p>
      <w:pPr>
        <w:pStyle w:val="ListParagraph"/>
        <w:numPr>
          <w:ilvl w:val="0"/>
          <w:numId w:val="1"/>
        </w:numPr>
        <w:spacing w:lineRule="exact" w:line="268" w:before="0" w:after="70"/>
        <w:rPr/>
      </w:pPr>
      <w:r>
        <w:rPr>
          <w:b/>
          <w:bCs/>
        </w:rPr>
        <w:t xml:space="preserve">Low and inconsistent motivation. </w:t>
      </w:r>
      <w:r>
        <w:rPr/>
        <w:t>Without engagement, students open practice tools rarely and irregularly.</w:t>
      </w:r>
    </w:p>
    <w:p>
      <w:pPr>
        <w:pStyle w:val="ListParagraph"/>
        <w:numPr>
          <w:ilvl w:val="0"/>
          <w:numId w:val="1"/>
        </w:numPr>
        <w:spacing w:lineRule="exact" w:line="268" w:before="0" w:after="70"/>
        <w:rPr/>
      </w:pPr>
      <w:r>
        <w:rPr>
          <w:b/>
          <w:bCs/>
        </w:rPr>
        <w:t xml:space="preserve">Limited visibility for leadership. </w:t>
      </w:r>
      <w:r>
        <w:rPr/>
        <w:t>Heads of department and management lack one live view of performance, marking quality and integrity.</w:t>
      </w:r>
    </w:p>
    <w:p>
      <w:pPr>
        <w:pStyle w:val="Heading1"/>
        <w:rPr/>
      </w:pPr>
      <w:bookmarkStart w:id="3" w:name="__RefHeading___Toc327_3779541937"/>
      <w:bookmarkEnd w:id="3"/>
      <w:r>
        <w:rPr/>
        <w:t>4.  Vision of Prometheus EduAI</w:t>
      </w:r>
    </w:p>
    <w:p>
      <w:pPr>
        <w:pStyle w:val="Normal"/>
        <w:spacing w:lineRule="exact" w:line="276" w:before="0" w:after="140"/>
        <w:rPr/>
      </w:pPr>
      <w:r>
        <w:rPr/>
        <w:t>The vision is a single, connected academic intelligence system for Prometheus School. In the envisioned platform:</w:t>
      </w:r>
    </w:p>
    <w:p>
      <w:pPr>
        <w:pStyle w:val="ListParagraph"/>
        <w:numPr>
          <w:ilvl w:val="0"/>
          <w:numId w:val="5"/>
        </w:numPr>
        <w:spacing w:lineRule="exact" w:line="268" w:before="0" w:after="80"/>
        <w:rPr/>
      </w:pPr>
      <w:r>
        <w:rPr/>
        <w:t>Students can learn from approved, well organised resources.</w:t>
      </w:r>
    </w:p>
    <w:p>
      <w:pPr>
        <w:pStyle w:val="ListParagraph"/>
        <w:numPr>
          <w:ilvl w:val="0"/>
          <w:numId w:val="2"/>
        </w:numPr>
        <w:spacing w:lineRule="exact" w:line="268" w:before="0" w:after="80"/>
        <w:rPr/>
      </w:pPr>
      <w:r>
        <w:rPr/>
        <w:t>Students can take mock tests and understand their mistakes quickly.</w:t>
      </w:r>
    </w:p>
    <w:p>
      <w:pPr>
        <w:pStyle w:val="ListParagraph"/>
        <w:numPr>
          <w:ilvl w:val="0"/>
          <w:numId w:val="2"/>
        </w:numPr>
        <w:spacing w:lineRule="exact" w:line="268" w:before="0" w:after="80"/>
        <w:rPr/>
      </w:pPr>
      <w:r>
        <w:rPr/>
        <w:t>Teachers can upload papers, notes, marking schemes and answer scripts.</w:t>
      </w:r>
    </w:p>
    <w:p>
      <w:pPr>
        <w:pStyle w:val="ListParagraph"/>
        <w:numPr>
          <w:ilvl w:val="0"/>
          <w:numId w:val="2"/>
        </w:numPr>
        <w:spacing w:lineRule="exact" w:line="268" w:before="0" w:after="80"/>
        <w:rPr/>
      </w:pPr>
      <w:r>
        <w:rPr/>
        <w:t>Artificial intelligence can assist teachers in checking papers against marking schemes.</w:t>
      </w:r>
    </w:p>
    <w:p>
      <w:pPr>
        <w:pStyle w:val="ListParagraph"/>
        <w:numPr>
          <w:ilvl w:val="0"/>
          <w:numId w:val="2"/>
        </w:numPr>
        <w:spacing w:lineRule="exact" w:line="268" w:before="0" w:after="80"/>
        <w:rPr/>
      </w:pPr>
      <w:r>
        <w:rPr/>
        <w:t>Students can request re evaluation transparently and follow its progress.</w:t>
      </w:r>
    </w:p>
    <w:p>
      <w:pPr>
        <w:pStyle w:val="ListParagraph"/>
        <w:numPr>
          <w:ilvl w:val="0"/>
          <w:numId w:val="2"/>
        </w:numPr>
        <w:spacing w:lineRule="exact" w:line="268" w:before="0" w:after="80"/>
        <w:rPr/>
      </w:pPr>
      <w:r>
        <w:rPr/>
        <w:t>Answer scripts are stored digitally and locked to prevent manipulation.</w:t>
      </w:r>
    </w:p>
    <w:p>
      <w:pPr>
        <w:pStyle w:val="ListParagraph"/>
        <w:numPr>
          <w:ilvl w:val="0"/>
          <w:numId w:val="2"/>
        </w:numPr>
        <w:spacing w:lineRule="exact" w:line="268" w:before="0" w:after="80"/>
        <w:rPr/>
      </w:pPr>
      <w:r>
        <w:rPr/>
        <w:t>Heads of department and management can track academic performance and integrity.</w:t>
      </w:r>
    </w:p>
    <w:p>
      <w:pPr>
        <w:pStyle w:val="ListParagraph"/>
        <w:numPr>
          <w:ilvl w:val="0"/>
          <w:numId w:val="2"/>
        </w:numPr>
        <w:spacing w:lineRule="exact" w:line="268" w:before="0" w:after="80"/>
        <w:rPr/>
      </w:pPr>
      <w:r>
        <w:rPr/>
        <w:t>The experience is friendly, animated and engaging enough that students actually want to open it.</w:t>
      </w:r>
    </w:p>
    <w:p>
      <w:pPr>
        <w:pStyle w:val="Heading1"/>
        <w:rPr/>
      </w:pPr>
      <w:bookmarkStart w:id="4" w:name="__RefHeading___Toc329_3779541937"/>
      <w:bookmarkEnd w:id="4"/>
      <w:r>
        <w:rPr/>
        <w:t>5.  Core Objectives</w:t>
      </w:r>
    </w:p>
    <w:p>
      <w:pPr>
        <w:pStyle w:val="ListParagraph"/>
        <w:numPr>
          <w:ilvl w:val="0"/>
          <w:numId w:val="1"/>
        </w:numPr>
        <w:spacing w:lineRule="exact" w:line="268" w:before="0" w:after="70"/>
        <w:rPr/>
      </w:pPr>
      <w:r>
        <w:rPr/>
        <w:t>Make high quality, teacher approved learning resources easy to find and use.</w:t>
      </w:r>
    </w:p>
    <w:p>
      <w:pPr>
        <w:pStyle w:val="ListParagraph"/>
        <w:numPr>
          <w:ilvl w:val="0"/>
          <w:numId w:val="1"/>
        </w:numPr>
        <w:spacing w:lineRule="exact" w:line="268" w:before="0" w:after="70"/>
        <w:rPr/>
      </w:pPr>
      <w:r>
        <w:rPr/>
        <w:t>Give students fast, supportive analysis of every test, so mistakes become learning.</w:t>
      </w:r>
    </w:p>
    <w:p>
      <w:pPr>
        <w:pStyle w:val="ListParagraph"/>
        <w:numPr>
          <w:ilvl w:val="0"/>
          <w:numId w:val="1"/>
        </w:numPr>
        <w:spacing w:lineRule="exact" w:line="268" w:before="0" w:after="70"/>
        <w:rPr/>
      </w:pPr>
      <w:r>
        <w:rPr/>
        <w:t>Support teachers with consistent, evidence based evaluation that saves time.</w:t>
      </w:r>
    </w:p>
    <w:p>
      <w:pPr>
        <w:pStyle w:val="ListParagraph"/>
        <w:numPr>
          <w:ilvl w:val="0"/>
          <w:numId w:val="1"/>
        </w:numPr>
        <w:spacing w:lineRule="exact" w:line="268" w:before="0" w:after="70"/>
        <w:rPr/>
      </w:pPr>
      <w:r>
        <w:rPr/>
        <w:t>Protect the integrity of answer scripts and the rechecking process.</w:t>
      </w:r>
    </w:p>
    <w:p>
      <w:pPr>
        <w:pStyle w:val="ListParagraph"/>
        <w:numPr>
          <w:ilvl w:val="0"/>
          <w:numId w:val="1"/>
        </w:numPr>
        <w:spacing w:lineRule="exact" w:line="268" w:before="0" w:after="70"/>
        <w:rPr/>
      </w:pPr>
      <w:r>
        <w:rPr/>
        <w:t>Give leadership a clear, data driven view of academic health.</w:t>
      </w:r>
    </w:p>
    <w:p>
      <w:pPr>
        <w:pStyle w:val="ListParagraph"/>
        <w:numPr>
          <w:ilvl w:val="0"/>
          <w:numId w:val="1"/>
        </w:numPr>
        <w:spacing w:lineRule="exact" w:line="268" w:before="0" w:after="70"/>
        <w:rPr/>
      </w:pPr>
      <w:r>
        <w:rPr/>
        <w:t>Encourage healthy, growth focused motivation rather than pressure.</w:t>
      </w:r>
    </w:p>
    <w:p>
      <w:pPr>
        <w:pStyle w:val="ListParagraph"/>
        <w:numPr>
          <w:ilvl w:val="0"/>
          <w:numId w:val="1"/>
        </w:numPr>
        <w:spacing w:lineRule="exact" w:line="268" w:before="0" w:after="70"/>
        <w:rPr/>
      </w:pPr>
      <w:r>
        <w:rPr/>
        <w:t>Keep final academic authority firmly with teachers at every stage.</w:t>
      </w:r>
    </w:p>
    <w:p>
      <w:pPr>
        <w:pStyle w:val="Heading1"/>
        <w:rPr/>
      </w:pPr>
      <w:bookmarkStart w:id="5" w:name="__RefHeading___Toc331_3779541937"/>
      <w:bookmarkEnd w:id="5"/>
      <w:r>
        <w:rPr/>
        <w:t>6.  Target Users</w:t>
      </w:r>
    </w:p>
    <w:p>
      <w:pPr>
        <w:pStyle w:val="Normal"/>
        <w:spacing w:lineRule="exact" w:line="276" w:before="0" w:after="140"/>
        <w:rPr/>
      </w:pPr>
      <w:r>
        <w:rPr/>
        <w:t>The platform is designed around five roles working from the same trusted academic data:</w:t>
      </w:r>
    </w:p>
    <w:tbl>
      <w:tblPr>
        <w:tblW w:w="9360" w:type="dxa"/>
        <w:jc w:val="left"/>
        <w:tblInd w:w="0" w:type="dxa"/>
        <w:tblLayout w:type="fixed"/>
        <w:tblCellMar>
          <w:top w:w="90" w:type="dxa"/>
          <w:left w:w="150" w:type="dxa"/>
          <w:bottom w:w="90" w:type="dxa"/>
          <w:right w:w="150" w:type="dxa"/>
        </w:tblCellMar>
      </w:tblPr>
      <w:tblGrid>
        <w:gridCol w:w="2399"/>
        <w:gridCol w:w="6960"/>
      </w:tblGrid>
      <w:tr>
        <w:trPr>
          <w:tblHeader w:val="true"/>
        </w:trPr>
        <w:tc>
          <w:tcPr>
            <w:tcW w:w="2399" w:type="dxa"/>
            <w:tcBorders>
              <w:top w:val="single" w:sz="2" w:space="0" w:color="FFFFFF"/>
              <w:left w:val="single" w:sz="2" w:space="0" w:color="FFFFFF"/>
              <w:bottom w:val="single" w:sz="2" w:space="0" w:color="FFFFFF"/>
              <w:right w:val="single" w:sz="2" w:space="0" w:color="FFFFFF"/>
            </w:tcBorders>
            <w:shd w:fill="141A3C" w:val="clear"/>
            <w:vAlign w:val="center"/>
          </w:tcPr>
          <w:p>
            <w:pPr>
              <w:pStyle w:val="Normal"/>
              <w:spacing w:lineRule="exact" w:line="264" w:before="0" w:after="0"/>
              <w:rPr/>
            </w:pPr>
            <w:r>
              <w:rPr>
                <w:b/>
                <w:bCs/>
                <w:color w:val="FFFFFF"/>
                <w:sz w:val="20"/>
                <w:szCs w:val="20"/>
              </w:rPr>
              <w:t>Role</w:t>
            </w:r>
          </w:p>
        </w:tc>
        <w:tc>
          <w:tcPr>
            <w:tcW w:w="6960" w:type="dxa"/>
            <w:tcBorders>
              <w:top w:val="single" w:sz="2" w:space="0" w:color="FFFFFF"/>
              <w:left w:val="single" w:sz="2" w:space="0" w:color="FFFFFF"/>
              <w:bottom w:val="single" w:sz="2" w:space="0" w:color="FFFFFF"/>
              <w:right w:val="single" w:sz="2" w:space="0" w:color="FFFFFF"/>
            </w:tcBorders>
            <w:shd w:fill="141A3C" w:val="clear"/>
            <w:vAlign w:val="center"/>
          </w:tcPr>
          <w:p>
            <w:pPr>
              <w:pStyle w:val="Normal"/>
              <w:spacing w:lineRule="exact" w:line="264" w:before="0" w:after="0"/>
              <w:rPr/>
            </w:pPr>
            <w:r>
              <w:rPr>
                <w:b/>
                <w:bCs/>
                <w:color w:val="FFFFFF"/>
                <w:sz w:val="20"/>
                <w:szCs w:val="20"/>
              </w:rPr>
              <w:t>How the platform serves them</w:t>
            </w:r>
          </w:p>
        </w:tc>
      </w:tr>
      <w:tr>
        <w:trPr/>
        <w:tc>
          <w:tcPr>
            <w:tcW w:w="2399" w:type="dxa"/>
            <w:tcBorders>
              <w:top w:val="single" w:sz="2" w:space="0" w:color="FFFFFF"/>
              <w:left w:val="single" w:sz="2" w:space="0" w:color="FFFFFF"/>
              <w:bottom w:val="single" w:sz="2" w:space="0" w:color="FFFFFF"/>
              <w:right w:val="single" w:sz="2" w:space="0" w:color="FFFFFF"/>
            </w:tcBorders>
            <w:shd w:fill="FFFFFF" w:val="clear"/>
            <w:vAlign w:val="center"/>
          </w:tcPr>
          <w:p>
            <w:pPr>
              <w:pStyle w:val="Normal"/>
              <w:spacing w:lineRule="exact" w:line="264" w:before="0" w:after="0"/>
              <w:rPr/>
            </w:pPr>
            <w:r>
              <w:rPr>
                <w:b/>
                <w:bCs/>
                <w:sz w:val="20"/>
                <w:szCs w:val="20"/>
              </w:rPr>
              <w:t>Students</w:t>
            </w:r>
          </w:p>
        </w:tc>
        <w:tc>
          <w:tcPr>
            <w:tcW w:w="6960" w:type="dxa"/>
            <w:tcBorders>
              <w:top w:val="single" w:sz="2" w:space="0" w:color="FFFFFF"/>
              <w:left w:val="single" w:sz="2" w:space="0" w:color="FFFFFF"/>
              <w:bottom w:val="single" w:sz="2" w:space="0" w:color="FFFFFF"/>
              <w:right w:val="single" w:sz="2" w:space="0" w:color="FFFFFF"/>
            </w:tcBorders>
            <w:shd w:fill="FFFFFF" w:val="clear"/>
            <w:vAlign w:val="center"/>
          </w:tcPr>
          <w:p>
            <w:pPr>
              <w:pStyle w:val="Normal"/>
              <w:spacing w:lineRule="exact" w:line="264" w:before="0" w:after="0"/>
              <w:rPr/>
            </w:pPr>
            <w:r>
              <w:rPr>
                <w:b w:val="false"/>
                <w:bCs w:val="false"/>
                <w:sz w:val="20"/>
                <w:szCs w:val="20"/>
              </w:rPr>
              <w:t>Access approved resources, practise with mock tests, understand mistakes and track personal progress.</w:t>
            </w:r>
          </w:p>
        </w:tc>
      </w:tr>
      <w:tr>
        <w:trPr/>
        <w:tc>
          <w:tcPr>
            <w:tcW w:w="2399" w:type="dxa"/>
            <w:tcBorders>
              <w:top w:val="single" w:sz="2" w:space="0" w:color="FFFFFF"/>
              <w:left w:val="single" w:sz="2" w:space="0" w:color="FFFFFF"/>
              <w:bottom w:val="single" w:sz="2" w:space="0" w:color="FFFFFF"/>
              <w:right w:val="single" w:sz="2" w:space="0" w:color="FFFFFF"/>
            </w:tcBorders>
            <w:shd w:fill="F4F6FB" w:val="clear"/>
            <w:vAlign w:val="center"/>
          </w:tcPr>
          <w:p>
            <w:pPr>
              <w:pStyle w:val="Normal"/>
              <w:spacing w:lineRule="exact" w:line="264" w:before="0" w:after="0"/>
              <w:rPr/>
            </w:pPr>
            <w:r>
              <w:rPr>
                <w:b/>
                <w:bCs/>
                <w:sz w:val="20"/>
                <w:szCs w:val="20"/>
              </w:rPr>
              <w:t>Teachers</w:t>
            </w:r>
          </w:p>
        </w:tc>
        <w:tc>
          <w:tcPr>
            <w:tcW w:w="6960" w:type="dxa"/>
            <w:tcBorders>
              <w:top w:val="single" w:sz="2" w:space="0" w:color="FFFFFF"/>
              <w:left w:val="single" w:sz="2" w:space="0" w:color="FFFFFF"/>
              <w:bottom w:val="single" w:sz="2" w:space="0" w:color="FFFFFF"/>
              <w:right w:val="single" w:sz="2" w:space="0" w:color="FFFFFF"/>
            </w:tcBorders>
            <w:shd w:fill="F4F6FB" w:val="clear"/>
            <w:vAlign w:val="center"/>
          </w:tcPr>
          <w:p>
            <w:pPr>
              <w:pStyle w:val="Normal"/>
              <w:spacing w:lineRule="exact" w:line="264" w:before="0" w:after="0"/>
              <w:rPr/>
            </w:pPr>
            <w:r>
              <w:rPr>
                <w:b w:val="false"/>
                <w:bCs w:val="false"/>
                <w:sz w:val="20"/>
                <w:szCs w:val="20"/>
              </w:rPr>
              <w:t>Upload resources, evaluate with AI support against marking schemes and review student weakness reports.</w:t>
            </w:r>
          </w:p>
        </w:tc>
      </w:tr>
      <w:tr>
        <w:trPr/>
        <w:tc>
          <w:tcPr>
            <w:tcW w:w="2399" w:type="dxa"/>
            <w:tcBorders>
              <w:top w:val="single" w:sz="2" w:space="0" w:color="FFFFFF"/>
              <w:left w:val="single" w:sz="2" w:space="0" w:color="FFFFFF"/>
              <w:bottom w:val="single" w:sz="2" w:space="0" w:color="FFFFFF"/>
              <w:right w:val="single" w:sz="2" w:space="0" w:color="FFFFFF"/>
            </w:tcBorders>
            <w:shd w:fill="FFFFFF" w:val="clear"/>
            <w:vAlign w:val="center"/>
          </w:tcPr>
          <w:p>
            <w:pPr>
              <w:pStyle w:val="Normal"/>
              <w:spacing w:lineRule="exact" w:line="264" w:before="0" w:after="0"/>
              <w:rPr/>
            </w:pPr>
            <w:r>
              <w:rPr>
                <w:b/>
                <w:bCs/>
                <w:sz w:val="20"/>
                <w:szCs w:val="20"/>
              </w:rPr>
              <w:t>Heads of Department</w:t>
            </w:r>
          </w:p>
        </w:tc>
        <w:tc>
          <w:tcPr>
            <w:tcW w:w="6960" w:type="dxa"/>
            <w:tcBorders>
              <w:top w:val="single" w:sz="2" w:space="0" w:color="FFFFFF"/>
              <w:left w:val="single" w:sz="2" w:space="0" w:color="FFFFFF"/>
              <w:bottom w:val="single" w:sz="2" w:space="0" w:color="FFFFFF"/>
              <w:right w:val="single" w:sz="2" w:space="0" w:color="FFFFFF"/>
            </w:tcBorders>
            <w:shd w:fill="FFFFFF" w:val="clear"/>
            <w:vAlign w:val="center"/>
          </w:tcPr>
          <w:p>
            <w:pPr>
              <w:pStyle w:val="Normal"/>
              <w:spacing w:lineRule="exact" w:line="264" w:before="0" w:after="0"/>
              <w:rPr/>
            </w:pPr>
            <w:r>
              <w:rPr>
                <w:b w:val="false"/>
                <w:bCs w:val="false"/>
                <w:sz w:val="20"/>
                <w:szCs w:val="20"/>
              </w:rPr>
              <w:t>Monitor marking quality, subject performance and re evaluation patterns.</w:t>
            </w:r>
          </w:p>
        </w:tc>
      </w:tr>
      <w:tr>
        <w:trPr/>
        <w:tc>
          <w:tcPr>
            <w:tcW w:w="2399" w:type="dxa"/>
            <w:tcBorders>
              <w:top w:val="single" w:sz="2" w:space="0" w:color="FFFFFF"/>
              <w:left w:val="single" w:sz="2" w:space="0" w:color="FFFFFF"/>
              <w:bottom w:val="single" w:sz="2" w:space="0" w:color="FFFFFF"/>
              <w:right w:val="single" w:sz="2" w:space="0" w:color="FFFFFF"/>
            </w:tcBorders>
            <w:shd w:fill="F4F6FB" w:val="clear"/>
            <w:vAlign w:val="center"/>
          </w:tcPr>
          <w:p>
            <w:pPr>
              <w:pStyle w:val="Normal"/>
              <w:spacing w:lineRule="exact" w:line="264" w:before="0" w:after="0"/>
              <w:rPr/>
            </w:pPr>
            <w:r>
              <w:rPr>
                <w:b/>
                <w:bCs/>
                <w:sz w:val="20"/>
                <w:szCs w:val="20"/>
              </w:rPr>
              <w:t>Academic Coordinators</w:t>
            </w:r>
          </w:p>
        </w:tc>
        <w:tc>
          <w:tcPr>
            <w:tcW w:w="6960" w:type="dxa"/>
            <w:tcBorders>
              <w:top w:val="single" w:sz="2" w:space="0" w:color="FFFFFF"/>
              <w:left w:val="single" w:sz="2" w:space="0" w:color="FFFFFF"/>
              <w:bottom w:val="single" w:sz="2" w:space="0" w:color="FFFFFF"/>
              <w:right w:val="single" w:sz="2" w:space="0" w:color="FFFFFF"/>
            </w:tcBorders>
            <w:shd w:fill="F4F6FB" w:val="clear"/>
            <w:vAlign w:val="center"/>
          </w:tcPr>
          <w:p>
            <w:pPr>
              <w:pStyle w:val="Normal"/>
              <w:spacing w:lineRule="exact" w:line="264" w:before="0" w:after="0"/>
              <w:rPr/>
            </w:pPr>
            <w:r>
              <w:rPr>
                <w:b w:val="false"/>
                <w:bCs w:val="false"/>
                <w:sz w:val="20"/>
                <w:szCs w:val="20"/>
              </w:rPr>
              <w:t>Plan timely interventions from shared, chapter level insight.</w:t>
            </w:r>
          </w:p>
        </w:tc>
      </w:tr>
      <w:tr>
        <w:trPr/>
        <w:tc>
          <w:tcPr>
            <w:tcW w:w="2399" w:type="dxa"/>
            <w:tcBorders>
              <w:top w:val="single" w:sz="2" w:space="0" w:color="FFFFFF"/>
              <w:left w:val="single" w:sz="2" w:space="0" w:color="FFFFFF"/>
              <w:bottom w:val="single" w:sz="2" w:space="0" w:color="FFFFFF"/>
              <w:right w:val="single" w:sz="2" w:space="0" w:color="FFFFFF"/>
            </w:tcBorders>
            <w:shd w:fill="FFFFFF" w:val="clear"/>
            <w:vAlign w:val="center"/>
          </w:tcPr>
          <w:p>
            <w:pPr>
              <w:pStyle w:val="Normal"/>
              <w:spacing w:lineRule="exact" w:line="264" w:before="0" w:after="0"/>
              <w:rPr/>
            </w:pPr>
            <w:r>
              <w:rPr>
                <w:b/>
                <w:bCs/>
                <w:sz w:val="20"/>
                <w:szCs w:val="20"/>
              </w:rPr>
              <w:t>Management</w:t>
            </w:r>
          </w:p>
        </w:tc>
        <w:tc>
          <w:tcPr>
            <w:tcW w:w="6960" w:type="dxa"/>
            <w:tcBorders>
              <w:top w:val="single" w:sz="2" w:space="0" w:color="FFFFFF"/>
              <w:left w:val="single" w:sz="2" w:space="0" w:color="FFFFFF"/>
              <w:bottom w:val="single" w:sz="2" w:space="0" w:color="FFFFFF"/>
              <w:right w:val="single" w:sz="2" w:space="0" w:color="FFFFFF"/>
            </w:tcBorders>
            <w:shd w:fill="FFFFFF" w:val="clear"/>
            <w:vAlign w:val="center"/>
          </w:tcPr>
          <w:p>
            <w:pPr>
              <w:pStyle w:val="Normal"/>
              <w:spacing w:lineRule="exact" w:line="264" w:before="0" w:after="0"/>
              <w:rPr/>
            </w:pPr>
            <w:r>
              <w:rPr>
                <w:b w:val="false"/>
                <w:bCs w:val="false"/>
                <w:sz w:val="20"/>
                <w:szCs w:val="20"/>
              </w:rPr>
              <w:t>See academic health and integrity at a glance to support decisions.</w:t>
            </w:r>
          </w:p>
        </w:tc>
      </w:tr>
    </w:tbl>
    <w:p>
      <w:pPr>
        <w:pStyle w:val="Heading1"/>
        <w:rPr/>
      </w:pPr>
      <w:bookmarkStart w:id="6" w:name="__RefHeading___Toc333_3779541937"/>
      <w:bookmarkEnd w:id="6"/>
      <w:r>
        <w:rPr/>
        <w:t>7.  Complete Feature Modules</w:t>
      </w:r>
    </w:p>
    <w:p>
      <w:pPr>
        <w:pStyle w:val="Normal"/>
        <w:spacing w:lineRule="exact" w:line="276" w:before="0" w:after="140"/>
        <w:rPr/>
      </w:pPr>
      <w:r>
        <w:rPr/>
        <w:t>The proposed platform is organised into the following modules. Each is described as a planned capability awaiting approval.</w:t>
      </w:r>
    </w:p>
    <w:p>
      <w:pPr>
        <w:pStyle w:val="Heading2"/>
        <w:rPr/>
      </w:pPr>
      <w:bookmarkStart w:id="7" w:name="__RefHeading___Toc335_3779541937"/>
      <w:bookmarkEnd w:id="7"/>
      <w:r>
        <w:rPr/>
        <w:t>7.1  Study Library</w:t>
      </w:r>
    </w:p>
    <w:p>
      <w:pPr>
        <w:pStyle w:val="Normal"/>
        <w:spacing w:lineRule="exact" w:line="276" w:before="0" w:after="140"/>
        <w:rPr/>
      </w:pPr>
      <w:r>
        <w:rPr/>
        <w:t>A structured academic resource system where teachers can upload subject and chapter wise notes, previous year papers, question papers, marking schemes, sample answers, guidelines, revision material and practice questions. Students would access material organised by grade, subject, chapter, exam type and the curriculum followed by the school.</w:t>
      </w:r>
    </w:p>
    <w:p>
      <w:pPr>
        <w:pStyle w:val="Normal"/>
        <w:spacing w:lineRule="exact" w:line="276" w:before="0" w:after="140"/>
        <w:rPr/>
      </w:pPr>
      <w:r>
        <w:rPr>
          <w:b/>
          <w:bCs/>
        </w:rPr>
        <w:t xml:space="preserve">Example navigation: </w:t>
      </w:r>
      <w:r>
        <w:rPr/>
        <w:t>Grade 10 to Mathematics to Algebra, then onward to Notes, Previous Questions, Sample Answers, Mock Test and AI Help.</w:t>
      </w:r>
    </w:p>
    <w:p>
      <w:pPr>
        <w:pStyle w:val="Heading2"/>
        <w:rPr/>
      </w:pPr>
      <w:bookmarkStart w:id="8" w:name="__RefHeading___Toc337_3779541937"/>
      <w:bookmarkEnd w:id="8"/>
      <w:r>
        <w:rPr/>
        <w:t>7.2  AI Doubt Assistant</w:t>
      </w:r>
    </w:p>
    <w:p>
      <w:pPr>
        <w:pStyle w:val="Normal"/>
        <w:spacing w:lineRule="exact" w:line="276" w:before="0" w:after="140"/>
        <w:rPr/>
      </w:pPr>
      <w:r>
        <w:rPr/>
        <w:t>Students could ask subject and chapter related doubts. The planned assistant would explain concepts simply, help solve previous questions, explain correct answers and offer hints rather than direct answers where that supports deeper learning. Where possible it would draw on teacher approved resources, and it would be designed to build understanding rather than dependence on shortcuts.</w:t>
      </w:r>
    </w:p>
    <w:p>
      <w:pPr>
        <w:pStyle w:val="Heading2"/>
        <w:rPr/>
      </w:pPr>
      <w:bookmarkStart w:id="9" w:name="__RefHeading___Toc339_3779541937"/>
      <w:bookmarkEnd w:id="9"/>
      <w:r>
        <w:rPr/>
        <w:t>7.3  EduAI Mock Lab</w:t>
      </w:r>
    </w:p>
    <w:p>
      <w:pPr>
        <w:pStyle w:val="Normal"/>
        <w:spacing w:lineRule="exact" w:line="276" w:before="0" w:after="140"/>
        <w:rPr/>
      </w:pPr>
      <w:r>
        <w:rPr/>
        <w:t>A mock test environment offering chapter wise, subject wise, full syllabus, exam style, difficulty based and previous mistake based tests. Planned features include a timer, question navigation, mark for review, auto submit, auto save, result generation and question wise analysis. The purpose is to build speed, accuracy, confidence and exam temperament ahead of real examinations.</w:t>
      </w:r>
    </w:p>
    <w:p>
      <w:pPr>
        <w:pStyle w:val="Heading2"/>
        <w:rPr/>
      </w:pPr>
      <w:bookmarkStart w:id="10" w:name="__RefHeading___Toc341_3779541937"/>
      <w:bookmarkEnd w:id="10"/>
      <w:r>
        <w:rPr/>
        <w:t>7.4  AI Self Analysis Engine</w:t>
      </w:r>
    </w:p>
    <w:p>
      <w:pPr>
        <w:pStyle w:val="Normal"/>
        <w:spacing w:lineRule="exact" w:line="276" w:before="0" w:after="140"/>
        <w:rPr/>
      </w:pPr>
      <w:r>
        <w:rPr/>
        <w:t>After every mock test, the engine would analyse performance and detect conceptual gaps, calculation errors, formula mistakes, interpretation mistakes, presentation errors, time management issues, repeated slips, weak fundamentals and chapter wise weak areas. The report would be supportive rather than discouraging.</w:t>
      </w:r>
    </w:p>
    <w:p>
      <w:pPr>
        <w:pStyle w:val="Normal"/>
        <w:spacing w:lineRule="exact" w:line="276" w:before="0" w:after="140"/>
        <w:rPr/>
      </w:pPr>
      <w:r>
        <w:rPr>
          <w:b/>
          <w:bCs/>
        </w:rPr>
        <w:t xml:space="preserve">Example feedback: </w:t>
      </w:r>
      <w:r>
        <w:rPr>
          <w:i/>
          <w:iCs/>
        </w:rPr>
        <w:t>You understood the method but lost marks due to a calculation slip in the final step. Practise 3 similar questions to strengthen accuracy.</w:t>
      </w:r>
    </w:p>
    <w:p>
      <w:pPr>
        <w:pStyle w:val="Normal"/>
        <w:spacing w:lineRule="exact" w:line="276" w:before="0" w:after="140"/>
        <w:rPr/>
      </w:pPr>
      <w:r>
        <w:rPr/>
        <w:t>Each report would include the score, accuracy, time taken, weak chapters, a classification of mistakes, an improvement plan, recommended practice and retest suggestions.</w:t>
      </w:r>
    </w:p>
    <w:p>
      <w:pPr>
        <w:pStyle w:val="Heading2"/>
        <w:rPr/>
      </w:pPr>
      <w:bookmarkStart w:id="11" w:name="__RefHeading___Toc343_3779541937"/>
      <w:bookmarkEnd w:id="11"/>
      <w:r>
        <w:rPr/>
        <w:t>7.5  Mistake Notebook</w:t>
      </w:r>
    </w:p>
    <w:p>
      <w:pPr>
        <w:pStyle w:val="Normal"/>
        <w:spacing w:lineRule="exact" w:line="276" w:before="0" w:after="140"/>
        <w:rPr/>
      </w:pPr>
      <w:r>
        <w:rPr/>
        <w:t>Every student's mistakes would be saved automatically and organised for later revision, for example mistakes in Mathematics, calculation errors, conceptual errors and questions answered incorrectly more than once. This helps students improve by learning from their own history.</w:t>
      </w:r>
    </w:p>
    <w:p>
      <w:pPr>
        <w:pStyle w:val="Heading2"/>
        <w:rPr/>
      </w:pPr>
      <w:bookmarkStart w:id="12" w:name="__RefHeading___Toc345_3779541937"/>
      <w:bookmarkEnd w:id="12"/>
      <w:r>
        <w:rPr/>
        <w:t>7.6  EduAI Arena</w:t>
      </w:r>
    </w:p>
    <w:p>
      <w:pPr>
        <w:pStyle w:val="Normal"/>
        <w:spacing w:lineRule="exact" w:line="276" w:before="0" w:after="140"/>
        <w:rPr/>
      </w:pPr>
      <w:r>
        <w:rPr/>
        <w:t>A gamified, healthy competition system designed to motivate consistent practice without creating toxic pressure. Planned features include subject and chapter wise leaderboards, mock test rankings, weekly challenges, improvement and accuracy rankings, consistency badges, personal best tracking and class average comparison.</w:t>
      </w:r>
    </w:p>
    <w:p>
      <w:pPr>
        <w:pStyle w:val="Normal"/>
        <w:spacing w:lineRule="exact" w:line="276" w:before="0" w:after="140"/>
        <w:rPr/>
      </w:pPr>
      <w:r>
        <w:rPr/>
        <w:t>Crucially, the Arena would not only celebrate the highest score. It would also recognise the most improved student, the best accuracy improvement, the best consistency, the best comeback and the fastest improvement in a weak topic.</w:t>
      </w:r>
    </w:p>
    <w:p>
      <w:pPr>
        <w:pStyle w:val="Heading2"/>
        <w:rPr/>
      </w:pPr>
      <w:bookmarkStart w:id="13" w:name="__RefHeading___Toc347_3779541937"/>
      <w:bookmarkEnd w:id="13"/>
      <w:r>
        <w:rPr/>
        <w:t>7.7  Topper Strategy Breakdown</w:t>
      </w:r>
    </w:p>
    <w:p>
      <w:pPr>
        <w:pStyle w:val="Normal"/>
        <w:spacing w:lineRule="exact" w:line="276" w:before="0" w:after="140"/>
        <w:rPr/>
      </w:pPr>
      <w:r>
        <w:rPr/>
        <w:t>After a mock test, students could see how the top scorer approached the paper, including time spent per question, attempt order, accuracy pattern, strongest topics, mistakes made and the overall strategy used. This shifts attention from comparing marks to learning approach.</w:t>
      </w:r>
    </w:p>
    <w:p>
      <w:pPr>
        <w:pStyle w:val="Normal"/>
        <w:spacing w:lineRule="exact" w:line="276" w:before="0" w:after="140"/>
        <w:rPr/>
      </w:pPr>
      <w:r>
        <w:rPr>
          <w:b/>
          <w:bCs/>
        </w:rPr>
        <w:t xml:space="preserve">Example insight: </w:t>
      </w:r>
      <w:r>
        <w:rPr>
          <w:i/>
          <w:iCs/>
        </w:rPr>
        <w:t>The top scorer spent less time on easy questions and saved more time for application based problems.</w:t>
      </w:r>
    </w:p>
    <w:p>
      <w:pPr>
        <w:pStyle w:val="Heading2"/>
        <w:rPr/>
      </w:pPr>
      <w:bookmarkStart w:id="14" w:name="__RefHeading___Toc349_3779541937"/>
      <w:bookmarkEnd w:id="14"/>
      <w:r>
        <w:rPr/>
        <w:t>7.8  AI Marking Assistant</w:t>
      </w:r>
    </w:p>
    <w:p>
      <w:pPr>
        <w:pStyle w:val="Normal"/>
        <w:spacing w:lineRule="exact" w:line="276" w:before="0" w:after="140"/>
        <w:rPr/>
      </w:pPr>
      <w:r>
        <w:rPr/>
        <w:t>A teacher side evaluation system. Teachers or heads of department could upload the question paper, the marking scheme or rubric, the student answer scripts and, optionally, teacher awarded marks. The AI would then read the paper, the marking scheme and the student response, match answers against the marking criteria, suggest question wise marks with reasons, detect under marking and over marking, support partial marking, apply error carried forward where relevant, detect calculation mistakes and missing steps and generate student feedback. The teacher always holds final authority. The AI only assists.</w:t>
      </w:r>
    </w:p>
    <w:p>
      <w:pPr>
        <w:pStyle w:val="Heading2"/>
        <w:rPr/>
      </w:pPr>
      <w:bookmarkStart w:id="15" w:name="__RefHeading___Toc351_3779541937"/>
      <w:bookmarkEnd w:id="15"/>
      <w:r>
        <w:rPr/>
        <w:t>7.9  Rubric Based Evaluation</w:t>
      </w:r>
    </w:p>
    <w:p>
      <w:pPr>
        <w:pStyle w:val="Normal"/>
        <w:spacing w:lineRule="exact" w:line="276" w:before="0" w:after="140"/>
        <w:rPr/>
      </w:pPr>
      <w:r>
        <w:rPr/>
        <w:t>The marking logic would recognise that examination marking is rarely a simple right or wrong decision. It is planned to handle bullet point marking, method marks, answer marks, partial marks, error carried forward, accepted alternative answers, special cases, no working shown rules, do not accept conditions, arithmetic slips and final answer errors.</w:t>
      </w:r>
    </w:p>
    <w:p>
      <w:pPr>
        <w:pStyle w:val="Heading2"/>
        <w:rPr/>
      </w:pPr>
      <w:bookmarkStart w:id="16" w:name="__RefHeading___Toc353_3779541937"/>
      <w:bookmarkEnd w:id="16"/>
      <w:r>
        <w:rPr/>
        <w:t>7.10  ExamVault, the Digital Answer Script Lock</w:t>
      </w:r>
    </w:p>
    <w:p>
      <w:pPr>
        <w:pStyle w:val="Normal"/>
        <w:spacing w:lineRule="exact" w:line="276" w:before="0" w:after="140"/>
        <w:rPr/>
      </w:pPr>
      <w:r>
        <w:rPr/>
        <w:t>This is the academic integrity layer. After an exam, answer scripts would be scanned and uploaded, with each script linked to a student identifier, subject, exam name, date, timestamp, the uploaded copy and an evaluation status. Once uploaded, the script becomes the official digital record. The purpose is to prevent alteration of physical scripts before rechecking, since the locked original can serve as proof in any dispute.</w:t>
      </w:r>
    </w:p>
    <w:p>
      <w:pPr>
        <w:pStyle w:val="Heading2"/>
        <w:rPr/>
      </w:pPr>
      <w:bookmarkStart w:id="17" w:name="__RefHeading___Toc355_3779541937"/>
      <w:bookmarkEnd w:id="17"/>
      <w:r>
        <w:rPr/>
        <w:t>7.11  Re evaluation Portal</w:t>
      </w:r>
    </w:p>
    <w:p>
      <w:pPr>
        <w:pStyle w:val="Normal"/>
        <w:spacing w:lineRule="exact" w:line="276" w:before="0" w:after="140"/>
        <w:rPr/>
      </w:pPr>
      <w:r>
        <w:rPr/>
        <w:t>Students could request rechecking within the app. The proposed flow is straightforward: the student selects the exam, selects the question, writes a reason for rechecking, and a teacher or head of department reviews the request while the AI compares the original script, the marking scheme and the awarded marks. The final decision is recorded with a complete audit trail covering the original marks, the AI suggested marks, the teacher's final marks, any revised marks, the reason for change, and the date and reviewer.</w:t>
      </w:r>
    </w:p>
    <w:p>
      <w:pPr>
        <w:pStyle w:val="Heading2"/>
        <w:rPr/>
      </w:pPr>
      <w:bookmarkStart w:id="18" w:name="__RefHeading___Toc357_3779541937"/>
      <w:bookmarkEnd w:id="18"/>
      <w:r>
        <w:rPr/>
        <w:t>7.12  HOD and Admin Dashboard</w:t>
      </w:r>
    </w:p>
    <w:p>
      <w:pPr>
        <w:pStyle w:val="Normal"/>
        <w:spacing w:lineRule="exact" w:line="276" w:before="0" w:after="140"/>
        <w:rPr/>
      </w:pPr>
      <w:r>
        <w:rPr/>
        <w:t>For academic coordinators, heads of department and management, the dashboard would bring together class performance, subject wise performance, chapter wise weak areas, teacher wise marking consistency, question wise difficulty analysis, common mistakes, re evaluation patterns, student progress trends, mock participation, leaderboard insights and academic integrity alerts.</w:t>
      </w:r>
    </w:p>
    <w:p>
      <w:pPr>
        <w:pStyle w:val="Normal"/>
        <w:spacing w:lineRule="exact" w:line="276" w:before="0" w:after="140"/>
        <w:rPr/>
      </w:pPr>
      <w:r>
        <w:rPr>
          <w:b/>
          <w:bCs/>
        </w:rPr>
        <w:t xml:space="preserve">Example insight: </w:t>
      </w:r>
      <w:r>
        <w:rPr>
          <w:i/>
          <w:iCs/>
        </w:rPr>
        <w:t>70 percent of Class 9 students struggled with probability tree diagrams. The teacher may consider reteaching this concept.</w:t>
      </w:r>
    </w:p>
    <w:p>
      <w:pPr>
        <w:pStyle w:val="Heading2"/>
        <w:rPr/>
      </w:pPr>
      <w:bookmarkStart w:id="19" w:name="__RefHeading___Toc359_3779541937"/>
      <w:bookmarkEnd w:id="19"/>
      <w:r>
        <w:rPr/>
        <w:t>7.13  Promi, the EduAI Study Companion</w:t>
      </w:r>
    </w:p>
    <w:p>
      <w:pPr>
        <w:pStyle w:val="Normal"/>
        <w:spacing w:lineRule="exact" w:line="276" w:before="0" w:after="140"/>
        <w:rPr/>
      </w:pPr>
      <w:r>
        <w:rPr/>
        <w:t>A friendly animated companion inside the app, inspired by welcoming, child friendly interfaces. Promi would greet students, guide them through learning, suggest what to study next, explain mistakes kindly, recommend mock tests, celebrate improvement, show progress and motivate without pressure. The interface is envisioned to be animated, friendly, clean and age adaptive, more playful for younger students and more performance focused for seniors.</w:t>
      </w:r>
    </w:p>
    <w:p>
      <w:pPr>
        <w:pStyle w:val="Heading1"/>
        <w:rPr/>
      </w:pPr>
      <w:bookmarkStart w:id="20" w:name="__RefHeading___Toc361_3779541937"/>
      <w:bookmarkEnd w:id="20"/>
      <w:r>
        <w:rPr/>
        <w:t>8.  Teacher Workflow</w:t>
      </w:r>
    </w:p>
    <w:p>
      <w:pPr>
        <w:pStyle w:val="ListParagraph"/>
        <w:numPr>
          <w:ilvl w:val="0"/>
          <w:numId w:val="2"/>
        </w:numPr>
        <w:spacing w:lineRule="exact" w:line="268" w:before="0" w:after="80"/>
        <w:rPr/>
      </w:pPr>
      <w:r>
        <w:rPr/>
        <w:t>Upload subject and chapter resources, papers, marking schemes and sample answers to the Study Library.</w:t>
      </w:r>
    </w:p>
    <w:p>
      <w:pPr>
        <w:pStyle w:val="ListParagraph"/>
        <w:numPr>
          <w:ilvl w:val="0"/>
          <w:numId w:val="2"/>
        </w:numPr>
        <w:spacing w:lineRule="exact" w:line="268" w:before="0" w:after="80"/>
        <w:rPr/>
      </w:pPr>
      <w:r>
        <w:rPr/>
        <w:t>After an exam, scan and upload answer scripts into ExamVault, where each becomes a locked record.</w:t>
      </w:r>
    </w:p>
    <w:p>
      <w:pPr>
        <w:pStyle w:val="ListParagraph"/>
        <w:numPr>
          <w:ilvl w:val="0"/>
          <w:numId w:val="2"/>
        </w:numPr>
        <w:spacing w:lineRule="exact" w:line="268" w:before="0" w:after="80"/>
        <w:rPr/>
      </w:pPr>
      <w:r>
        <w:rPr/>
        <w:t>Open the AI Marking Assistant to receive question wise suggested marks with reasons.</w:t>
      </w:r>
    </w:p>
    <w:p>
      <w:pPr>
        <w:pStyle w:val="ListParagraph"/>
        <w:numPr>
          <w:ilvl w:val="0"/>
          <w:numId w:val="2"/>
        </w:numPr>
        <w:spacing w:lineRule="exact" w:line="268" w:before="0" w:after="80"/>
        <w:rPr/>
      </w:pPr>
      <w:r>
        <w:rPr/>
        <w:t>Review the suggestions, adjust where needed and confirm the final marks.</w:t>
      </w:r>
    </w:p>
    <w:p>
      <w:pPr>
        <w:pStyle w:val="ListParagraph"/>
        <w:numPr>
          <w:ilvl w:val="0"/>
          <w:numId w:val="2"/>
        </w:numPr>
        <w:spacing w:lineRule="exact" w:line="268" w:before="0" w:after="80"/>
        <w:rPr/>
      </w:pPr>
      <w:r>
        <w:rPr/>
        <w:t>Use the generated weakness reports to plan reteaching and targeted practice.</w:t>
      </w:r>
    </w:p>
    <w:p>
      <w:pPr>
        <w:pStyle w:val="ListParagraph"/>
        <w:numPr>
          <w:ilvl w:val="0"/>
          <w:numId w:val="2"/>
        </w:numPr>
        <w:spacing w:lineRule="exact" w:line="268" w:before="0" w:after="80"/>
        <w:rPr/>
      </w:pPr>
      <w:r>
        <w:rPr/>
        <w:t>Handle re evaluation requests transparently, with the original script and marking scheme alongside.</w:t>
      </w:r>
    </w:p>
    <w:p>
      <w:pPr>
        <w:pStyle w:val="Heading1"/>
        <w:rPr/>
      </w:pPr>
      <w:bookmarkStart w:id="21" w:name="__RefHeading___Toc363_3779541937"/>
      <w:bookmarkEnd w:id="21"/>
      <w:r>
        <w:rPr/>
        <w:t>9.  Student Workflow</w:t>
      </w:r>
    </w:p>
    <w:p>
      <w:pPr>
        <w:pStyle w:val="ListParagraph"/>
        <w:numPr>
          <w:ilvl w:val="0"/>
          <w:numId w:val="2"/>
        </w:numPr>
        <w:spacing w:lineRule="exact" w:line="268" w:before="0" w:after="80"/>
        <w:rPr/>
      </w:pPr>
      <w:r>
        <w:rPr/>
        <w:t>Browse approved resources by grade, subject and chapter in the Study Library.</w:t>
      </w:r>
    </w:p>
    <w:p>
      <w:pPr>
        <w:pStyle w:val="ListParagraph"/>
        <w:numPr>
          <w:ilvl w:val="0"/>
          <w:numId w:val="2"/>
        </w:numPr>
        <w:spacing w:lineRule="exact" w:line="268" w:before="0" w:after="80"/>
        <w:rPr/>
      </w:pPr>
      <w:r>
        <w:rPr/>
        <w:t>Ask the AI Doubt Assistant for explanations and hints while studying.</w:t>
      </w:r>
    </w:p>
    <w:p>
      <w:pPr>
        <w:pStyle w:val="ListParagraph"/>
        <w:numPr>
          <w:ilvl w:val="0"/>
          <w:numId w:val="2"/>
        </w:numPr>
        <w:spacing w:lineRule="exact" w:line="268" w:before="0" w:after="80"/>
        <w:rPr/>
      </w:pPr>
      <w:r>
        <w:rPr/>
        <w:t>Take a chapter, subject or full syllabus mock test in the EduAI Mock Lab.</w:t>
      </w:r>
    </w:p>
    <w:p>
      <w:pPr>
        <w:pStyle w:val="ListParagraph"/>
        <w:numPr>
          <w:ilvl w:val="0"/>
          <w:numId w:val="2"/>
        </w:numPr>
        <w:spacing w:lineRule="exact" w:line="268" w:before="0" w:after="80"/>
        <w:rPr/>
      </w:pPr>
      <w:r>
        <w:rPr/>
        <w:t>Receive a supportive Self Analysis report and a clear improvement plan.</w:t>
      </w:r>
    </w:p>
    <w:p>
      <w:pPr>
        <w:pStyle w:val="ListParagraph"/>
        <w:numPr>
          <w:ilvl w:val="0"/>
          <w:numId w:val="2"/>
        </w:numPr>
        <w:spacing w:lineRule="exact" w:line="268" w:before="0" w:after="80"/>
        <w:rPr/>
      </w:pPr>
      <w:r>
        <w:rPr/>
        <w:t>Revise saved errors in the Mistake Notebook and retest when ready.</w:t>
      </w:r>
    </w:p>
    <w:p>
      <w:pPr>
        <w:pStyle w:val="ListParagraph"/>
        <w:numPr>
          <w:ilvl w:val="0"/>
          <w:numId w:val="2"/>
        </w:numPr>
        <w:spacing w:lineRule="exact" w:line="268" w:before="0" w:after="80"/>
        <w:rPr/>
      </w:pPr>
      <w:r>
        <w:rPr/>
        <w:t>Track growth and recognition in the EduAI Arena and raise re evaluation requests when needed.</w:t>
      </w:r>
    </w:p>
    <w:p>
      <w:pPr>
        <w:pStyle w:val="Heading1"/>
        <w:rPr/>
      </w:pPr>
      <w:bookmarkStart w:id="22" w:name="__RefHeading___Toc365_3779541937"/>
      <w:bookmarkEnd w:id="22"/>
      <w:r>
        <w:rPr/>
        <w:t>10.  HOD and Admin Workflow</w:t>
      </w:r>
    </w:p>
    <w:p>
      <w:pPr>
        <w:pStyle w:val="ListParagraph"/>
        <w:numPr>
          <w:ilvl w:val="0"/>
          <w:numId w:val="2"/>
        </w:numPr>
        <w:spacing w:lineRule="exact" w:line="268" w:before="0" w:after="80"/>
        <w:rPr/>
      </w:pPr>
      <w:r>
        <w:rPr/>
        <w:t>Monitor class, subject and chapter performance from the dashboard.</w:t>
      </w:r>
    </w:p>
    <w:p>
      <w:pPr>
        <w:pStyle w:val="ListParagraph"/>
        <w:numPr>
          <w:ilvl w:val="0"/>
          <w:numId w:val="2"/>
        </w:numPr>
        <w:spacing w:lineRule="exact" w:line="268" w:before="0" w:after="80"/>
        <w:rPr/>
      </w:pPr>
      <w:r>
        <w:rPr/>
        <w:t>Review teacher wise marking consistency and question difficulty patterns.</w:t>
      </w:r>
    </w:p>
    <w:p>
      <w:pPr>
        <w:pStyle w:val="ListParagraph"/>
        <w:numPr>
          <w:ilvl w:val="0"/>
          <w:numId w:val="2"/>
        </w:numPr>
        <w:spacing w:lineRule="exact" w:line="268" w:before="0" w:after="80"/>
        <w:rPr/>
      </w:pPr>
      <w:r>
        <w:rPr/>
        <w:t>Identify common weak areas and prompt timely interventions.</w:t>
      </w:r>
    </w:p>
    <w:p>
      <w:pPr>
        <w:pStyle w:val="ListParagraph"/>
        <w:numPr>
          <w:ilvl w:val="0"/>
          <w:numId w:val="2"/>
        </w:numPr>
        <w:spacing w:lineRule="exact" w:line="268" w:before="0" w:after="80"/>
        <w:rPr/>
      </w:pPr>
      <w:r>
        <w:rPr/>
        <w:t>Oversee re evaluation patterns and academic integrity alerts.</w:t>
      </w:r>
    </w:p>
    <w:p>
      <w:pPr>
        <w:pStyle w:val="ListParagraph"/>
        <w:numPr>
          <w:ilvl w:val="0"/>
          <w:numId w:val="2"/>
        </w:numPr>
        <w:spacing w:lineRule="exact" w:line="268" w:before="0" w:after="80"/>
        <w:rPr/>
      </w:pPr>
      <w:r>
        <w:rPr/>
        <w:t>Use trends and insights to support planning and leadership decisions.</w:t>
      </w:r>
    </w:p>
    <w:p>
      <w:pPr>
        <w:pStyle w:val="Heading1"/>
        <w:rPr/>
      </w:pPr>
      <w:bookmarkStart w:id="23" w:name="__RefHeading___Toc367_3779541937"/>
      <w:bookmarkEnd w:id="23"/>
      <w:r>
        <w:rPr/>
        <w:t>11.  Academic Integrity Layer</w:t>
      </w:r>
    </w:p>
    <w:p>
      <w:pPr>
        <w:pStyle w:val="Normal"/>
        <w:spacing w:lineRule="exact" w:line="276" w:before="0" w:after="140"/>
        <w:rPr/>
      </w:pPr>
      <w:r>
        <w:rPr/>
        <w:t>Academic integrity sits at the heart of this proposal. The platform aims to strengthen integrity by:</w:t>
      </w:r>
    </w:p>
    <w:p>
      <w:pPr>
        <w:pStyle w:val="ListParagraph"/>
        <w:numPr>
          <w:ilvl w:val="0"/>
          <w:numId w:val="1"/>
        </w:numPr>
        <w:spacing w:lineRule="exact" w:line="268" w:before="0" w:after="70"/>
        <w:rPr/>
      </w:pPr>
      <w:r>
        <w:rPr/>
        <w:t>Creating locked digital answer script records the moment an exam ends.</w:t>
      </w:r>
    </w:p>
    <w:p>
      <w:pPr>
        <w:pStyle w:val="ListParagraph"/>
        <w:numPr>
          <w:ilvl w:val="0"/>
          <w:numId w:val="1"/>
        </w:numPr>
        <w:spacing w:lineRule="exact" w:line="268" w:before="0" w:after="70"/>
        <w:rPr/>
      </w:pPr>
      <w:r>
        <w:rPr/>
        <w:t>Reducing the opportunity for manipulation during rechecking.</w:t>
      </w:r>
    </w:p>
    <w:p>
      <w:pPr>
        <w:pStyle w:val="ListParagraph"/>
        <w:numPr>
          <w:ilvl w:val="0"/>
          <w:numId w:val="1"/>
        </w:numPr>
        <w:spacing w:lineRule="exact" w:line="268" w:before="0" w:after="70"/>
        <w:rPr/>
      </w:pPr>
      <w:r>
        <w:rPr/>
        <w:t>Maintaining clear, permanent audit trails for every decision.</w:t>
      </w:r>
    </w:p>
    <w:p>
      <w:pPr>
        <w:pStyle w:val="ListParagraph"/>
        <w:numPr>
          <w:ilvl w:val="0"/>
          <w:numId w:val="1"/>
        </w:numPr>
        <w:spacing w:lineRule="exact" w:line="268" w:before="0" w:after="70"/>
        <w:rPr/>
      </w:pPr>
      <w:r>
        <w:rPr/>
        <w:t>Supporting consistent marking across teachers and sittings.</w:t>
      </w:r>
    </w:p>
    <w:p>
      <w:pPr>
        <w:pStyle w:val="ListParagraph"/>
        <w:numPr>
          <w:ilvl w:val="0"/>
          <w:numId w:val="1"/>
        </w:numPr>
        <w:spacing w:lineRule="exact" w:line="268" w:before="0" w:after="70"/>
        <w:rPr/>
      </w:pPr>
      <w:r>
        <w:rPr/>
        <w:t>Detecting both under marking and over marking.</w:t>
      </w:r>
    </w:p>
    <w:p>
      <w:pPr>
        <w:pStyle w:val="ListParagraph"/>
        <w:numPr>
          <w:ilvl w:val="0"/>
          <w:numId w:val="1"/>
        </w:numPr>
        <w:spacing w:lineRule="exact" w:line="268" w:before="0" w:after="70"/>
        <w:rPr/>
      </w:pPr>
      <w:r>
        <w:rPr/>
        <w:t>Giving heads of department visibility into marking patterns.</w:t>
      </w:r>
    </w:p>
    <w:p>
      <w:pPr>
        <w:pStyle w:val="Normal"/>
        <w:spacing w:lineRule="exact" w:line="276" w:before="0" w:after="140"/>
        <w:rPr/>
      </w:pPr>
      <w:r>
        <w:rPr>
          <w:b/>
          <w:bCs/>
        </w:rPr>
        <w:t xml:space="preserve">Throughout, the platform does not replace teachers. </w:t>
      </w:r>
      <w:r>
        <w:rPr/>
        <w:t>It supports teachers with AI powered evidence, consistency and transparency, while final authority remains with the teacher.</w:t>
      </w:r>
    </w:p>
    <w:p>
      <w:pPr>
        <w:pStyle w:val="Heading1"/>
        <w:rPr/>
      </w:pPr>
      <w:bookmarkStart w:id="24" w:name="__RefHeading___Toc369_3779541937"/>
      <w:bookmarkEnd w:id="24"/>
      <w:r>
        <w:rPr/>
        <w:t>12.  AI Evaluation Process</w:t>
      </w:r>
    </w:p>
    <w:p>
      <w:pPr>
        <w:pStyle w:val="Normal"/>
        <w:spacing w:lineRule="exact" w:line="276" w:before="0" w:after="140"/>
        <w:rPr/>
      </w:pPr>
      <w:r>
        <w:rPr/>
        <w:t>The proposed evaluation process keeps the teacher in control while using AI to bring consistency and evidence:</w:t>
      </w:r>
    </w:p>
    <w:p>
      <w:pPr>
        <w:pStyle w:val="ListParagraph"/>
        <w:numPr>
          <w:ilvl w:val="0"/>
          <w:numId w:val="2"/>
        </w:numPr>
        <w:spacing w:lineRule="exact" w:line="268" w:before="0" w:after="80"/>
        <w:rPr/>
      </w:pPr>
      <w:r>
        <w:rPr/>
        <w:t>The teacher uploads the question paper, marking scheme and answer scripts.</w:t>
      </w:r>
    </w:p>
    <w:p>
      <w:pPr>
        <w:pStyle w:val="ListParagraph"/>
        <w:numPr>
          <w:ilvl w:val="0"/>
          <w:numId w:val="2"/>
        </w:numPr>
        <w:spacing w:lineRule="exact" w:line="268" w:before="0" w:after="80"/>
        <w:rPr/>
      </w:pPr>
      <w:r>
        <w:rPr/>
        <w:t>The AI reads the paper, the scheme and each student response.</w:t>
      </w:r>
    </w:p>
    <w:p>
      <w:pPr>
        <w:pStyle w:val="ListParagraph"/>
        <w:numPr>
          <w:ilvl w:val="0"/>
          <w:numId w:val="2"/>
        </w:numPr>
        <w:spacing w:lineRule="exact" w:line="268" w:before="0" w:after="80"/>
        <w:rPr/>
      </w:pPr>
      <w:r>
        <w:rPr/>
        <w:t>The AI matches answers against the marking criteria, applying partial marks, method marks and error carried forward where relevant.</w:t>
      </w:r>
    </w:p>
    <w:p>
      <w:pPr>
        <w:pStyle w:val="ListParagraph"/>
        <w:numPr>
          <w:ilvl w:val="0"/>
          <w:numId w:val="2"/>
        </w:numPr>
        <w:spacing w:lineRule="exact" w:line="268" w:before="0" w:after="80"/>
        <w:rPr/>
      </w:pPr>
      <w:r>
        <w:rPr/>
        <w:t>The AI suggests question wise marks, each with a short reason, and flags possible under or over marking.</w:t>
      </w:r>
    </w:p>
    <w:p>
      <w:pPr>
        <w:pStyle w:val="ListParagraph"/>
        <w:numPr>
          <w:ilvl w:val="0"/>
          <w:numId w:val="2"/>
        </w:numPr>
        <w:spacing w:lineRule="exact" w:line="268" w:before="0" w:after="80"/>
        <w:rPr/>
      </w:pPr>
      <w:r>
        <w:rPr/>
        <w:t>The teacher reviews, adjusts where needed and confirms the final marks.</w:t>
      </w:r>
    </w:p>
    <w:p>
      <w:pPr>
        <w:pStyle w:val="ListParagraph"/>
        <w:numPr>
          <w:ilvl w:val="0"/>
          <w:numId w:val="2"/>
        </w:numPr>
        <w:spacing w:lineRule="exact" w:line="268" w:before="0" w:after="80"/>
        <w:rPr/>
      </w:pPr>
      <w:r>
        <w:rPr/>
        <w:t>The result, including the AI suggestion and the teacher decision, is recorded for transparency.</w:t>
      </w:r>
    </w:p>
    <w:p>
      <w:pPr>
        <w:pStyle w:val="Heading1"/>
        <w:rPr/>
      </w:pPr>
      <w:bookmarkStart w:id="25" w:name="__RefHeading___Toc371_3779541937"/>
      <w:bookmarkEnd w:id="25"/>
      <w:r>
        <w:rPr/>
        <w:t>13.  Mock Test and Improvement Process</w:t>
      </w:r>
    </w:p>
    <w:p>
      <w:pPr>
        <w:pStyle w:val="Normal"/>
        <w:spacing w:lineRule="exact" w:line="276" w:before="0" w:after="140"/>
        <w:rPr/>
      </w:pPr>
      <w:r>
        <w:rPr/>
        <w:t>The improvement loop is designed to turn every test into progress:</w:t>
      </w:r>
    </w:p>
    <w:p>
      <w:pPr>
        <w:pStyle w:val="ListParagraph"/>
        <w:numPr>
          <w:ilvl w:val="0"/>
          <w:numId w:val="2"/>
        </w:numPr>
        <w:spacing w:lineRule="exact" w:line="268" w:before="0" w:after="80"/>
        <w:rPr/>
      </w:pPr>
      <w:r>
        <w:rPr/>
        <w:t>The student takes a mock test in a realistic, timed environment.</w:t>
      </w:r>
    </w:p>
    <w:p>
      <w:pPr>
        <w:pStyle w:val="ListParagraph"/>
        <w:numPr>
          <w:ilvl w:val="0"/>
          <w:numId w:val="2"/>
        </w:numPr>
        <w:spacing w:lineRule="exact" w:line="268" w:before="0" w:after="80"/>
        <w:rPr/>
      </w:pPr>
      <w:r>
        <w:rPr/>
        <w:t>The Self Analysis Engine produces a supportive report with classified mistakes.</w:t>
      </w:r>
    </w:p>
    <w:p>
      <w:pPr>
        <w:pStyle w:val="ListParagraph"/>
        <w:numPr>
          <w:ilvl w:val="0"/>
          <w:numId w:val="2"/>
        </w:numPr>
        <w:spacing w:lineRule="exact" w:line="268" w:before="0" w:after="80"/>
        <w:rPr/>
      </w:pPr>
      <w:r>
        <w:rPr/>
        <w:t>Errors are saved automatically to the Mistake Notebook.</w:t>
      </w:r>
    </w:p>
    <w:p>
      <w:pPr>
        <w:pStyle w:val="ListParagraph"/>
        <w:numPr>
          <w:ilvl w:val="0"/>
          <w:numId w:val="2"/>
        </w:numPr>
        <w:spacing w:lineRule="exact" w:line="268" w:before="0" w:after="80"/>
        <w:rPr/>
      </w:pPr>
      <w:r>
        <w:rPr/>
        <w:t>The student follows a recommended practice plan focused on weak areas.</w:t>
      </w:r>
    </w:p>
    <w:p>
      <w:pPr>
        <w:pStyle w:val="ListParagraph"/>
        <w:numPr>
          <w:ilvl w:val="0"/>
          <w:numId w:val="2"/>
        </w:numPr>
        <w:spacing w:lineRule="exact" w:line="268" w:before="0" w:after="80"/>
        <w:rPr/>
      </w:pPr>
      <w:r>
        <w:rPr/>
        <w:t>The student retests and tracks improvement over time.</w:t>
      </w:r>
    </w:p>
    <w:p>
      <w:pPr>
        <w:pStyle w:val="Normal"/>
        <w:spacing w:lineRule="exact" w:line="276" w:before="0" w:after="140"/>
        <w:rPr/>
      </w:pPr>
      <w:r>
        <w:rPr/>
        <w:t>Repeated over a term, this loop builds speed, accuracy, confidence and exam temperament.</w:t>
      </w:r>
    </w:p>
    <w:p>
      <w:pPr>
        <w:pStyle w:val="Heading1"/>
        <w:rPr/>
      </w:pPr>
      <w:bookmarkStart w:id="26" w:name="__RefHeading___Toc373_3779541937"/>
      <w:bookmarkEnd w:id="26"/>
      <w:r>
        <w:rPr/>
        <w:t>14.  Gamification and Healthy Competition</w:t>
      </w:r>
    </w:p>
    <w:p>
      <w:pPr>
        <w:pStyle w:val="Normal"/>
        <w:spacing w:lineRule="exact" w:line="276" w:before="0" w:after="140"/>
        <w:rPr/>
      </w:pPr>
      <w:r>
        <w:rPr/>
        <w:t>Students need a reason to return to the platform consistently. The EduAI Arena is proposed to provide that motivation through healthy competition rather than pressure. It would balance traditional rankings with recognition for growth, so that progress is celebrated as much as raw scores.</w:t>
      </w:r>
    </w:p>
    <w:p>
      <w:pPr>
        <w:pStyle w:val="Normal"/>
        <w:spacing w:lineRule="exact" w:line="276" w:before="0" w:after="140"/>
        <w:rPr/>
      </w:pPr>
      <w:r>
        <w:rPr/>
        <w:t>Recognition would extend to the most improved student, the best accuracy improvement, the best consistency, the best comeback and the fastest improvement in a weak topic, alongside streaks, badges and personal best tracking. The Topper Strategy Breakdown would help students learn how strong performers approach a paper, not just what they scored.</w:t>
      </w:r>
    </w:p>
    <w:p>
      <w:pPr>
        <w:pStyle w:val="Heading1"/>
        <w:rPr/>
      </w:pPr>
      <w:bookmarkStart w:id="27" w:name="__RefHeading___Toc375_3779541937"/>
      <w:bookmarkEnd w:id="27"/>
      <w:r>
        <w:rPr/>
        <w:t>15.  User Experience and Animated Companion</w:t>
      </w:r>
    </w:p>
    <w:p>
      <w:pPr>
        <w:pStyle w:val="Normal"/>
        <w:spacing w:lineRule="exact" w:line="276" w:before="0" w:after="140"/>
        <w:rPr/>
      </w:pPr>
      <w:r>
        <w:rPr/>
        <w:t>For the platform to succeed, students must want to open it. The experience is envisioned to be smooth, friendly and interactive, with an animated study companion, gentle transitions, progress cards, badges, streaks, subject and chapter cards, clear mock test actions, personalised suggestions and positive feedback animations.</w:t>
      </w:r>
    </w:p>
    <w:p>
      <w:pPr>
        <w:pStyle w:val="Normal"/>
        <w:spacing w:lineRule="exact" w:line="276" w:before="0" w:after="140"/>
        <w:rPr/>
      </w:pPr>
      <w:r>
        <w:rPr/>
        <w:t>Promi, the animated companion, would guide students through learning, celebrate improvement and explain mistakes kindly. Example messages include greetings such as Hi, ready to learn today, encouragement such as you improved in probability this week, and gentle nudges such as want to take a 10 minute revision quiz. The interface would be age adaptive, more playful for younger students and more mature and performance focused for seniors.</w:t>
      </w:r>
    </w:p>
    <w:p>
      <w:pPr>
        <w:pStyle w:val="Heading1"/>
        <w:rPr/>
      </w:pPr>
      <w:bookmarkStart w:id="28" w:name="__RefHeading___Toc377_3779541937"/>
      <w:bookmarkEnd w:id="28"/>
      <w:r>
        <w:rPr/>
        <w:t>16.  Benefits for Students</w:t>
      </w:r>
    </w:p>
    <w:p>
      <w:pPr>
        <w:pStyle w:val="ListParagraph"/>
        <w:numPr>
          <w:ilvl w:val="0"/>
          <w:numId w:val="1"/>
        </w:numPr>
        <w:spacing w:lineRule="exact" w:line="268" w:before="0" w:after="70"/>
        <w:rPr/>
      </w:pPr>
      <w:r>
        <w:rPr/>
        <w:t>Easier access to notes and previous questions.</w:t>
      </w:r>
    </w:p>
    <w:p>
      <w:pPr>
        <w:pStyle w:val="ListParagraph"/>
        <w:numPr>
          <w:ilvl w:val="0"/>
          <w:numId w:val="1"/>
        </w:numPr>
        <w:spacing w:lineRule="exact" w:line="268" w:before="0" w:after="70"/>
        <w:rPr/>
      </w:pPr>
      <w:r>
        <w:rPr/>
        <w:t>Clear AI explanations and guided practice.</w:t>
      </w:r>
    </w:p>
    <w:p>
      <w:pPr>
        <w:pStyle w:val="ListParagraph"/>
        <w:numPr>
          <w:ilvl w:val="0"/>
          <w:numId w:val="1"/>
        </w:numPr>
        <w:spacing w:lineRule="exact" w:line="268" w:before="0" w:after="70"/>
        <w:rPr/>
      </w:pPr>
      <w:r>
        <w:rPr/>
        <w:t>Fast, supportive analysis of every test.</w:t>
      </w:r>
    </w:p>
    <w:p>
      <w:pPr>
        <w:pStyle w:val="ListParagraph"/>
        <w:numPr>
          <w:ilvl w:val="0"/>
          <w:numId w:val="1"/>
        </w:numPr>
        <w:spacing w:lineRule="exact" w:line="268" w:before="0" w:after="70"/>
        <w:rPr/>
      </w:pPr>
      <w:r>
        <w:rPr/>
        <w:t>Automatic detection and revision of mistakes.</w:t>
      </w:r>
    </w:p>
    <w:p>
      <w:pPr>
        <w:pStyle w:val="ListParagraph"/>
        <w:numPr>
          <w:ilvl w:val="0"/>
          <w:numId w:val="1"/>
        </w:numPr>
        <w:spacing w:lineRule="exact" w:line="268" w:before="0" w:after="70"/>
        <w:rPr/>
      </w:pPr>
      <w:r>
        <w:rPr/>
        <w:t>Personalised improvement plans and retest suggestions.</w:t>
      </w:r>
    </w:p>
    <w:p>
      <w:pPr>
        <w:pStyle w:val="ListParagraph"/>
        <w:numPr>
          <w:ilvl w:val="0"/>
          <w:numId w:val="1"/>
        </w:numPr>
        <w:spacing w:lineRule="exact" w:line="268" w:before="0" w:after="70"/>
        <w:rPr/>
      </w:pPr>
      <w:r>
        <w:rPr/>
        <w:t>Healthy competition, recognition for growth and the chance to learn from toppers.</w:t>
      </w:r>
    </w:p>
    <w:p>
      <w:pPr>
        <w:pStyle w:val="ListParagraph"/>
        <w:numPr>
          <w:ilvl w:val="0"/>
          <w:numId w:val="1"/>
        </w:numPr>
        <w:spacing w:lineRule="exact" w:line="268" w:before="0" w:after="70"/>
        <w:rPr/>
      </w:pPr>
      <w:r>
        <w:rPr/>
        <w:t>Better overall exam preparation and confidence.</w:t>
      </w:r>
    </w:p>
    <w:p>
      <w:pPr>
        <w:pStyle w:val="Heading1"/>
        <w:rPr/>
      </w:pPr>
      <w:bookmarkStart w:id="29" w:name="__RefHeading___Toc379_3779541937"/>
      <w:bookmarkEnd w:id="29"/>
      <w:r>
        <w:rPr/>
        <w:t>17.  Benefits for Teachers</w:t>
      </w:r>
    </w:p>
    <w:p>
      <w:pPr>
        <w:pStyle w:val="ListParagraph"/>
        <w:numPr>
          <w:ilvl w:val="0"/>
          <w:numId w:val="1"/>
        </w:numPr>
        <w:spacing w:lineRule="exact" w:line="268" w:before="0" w:after="70"/>
        <w:rPr/>
      </w:pPr>
      <w:r>
        <w:rPr/>
        <w:t>Faster evaluation support against marking schemes.</w:t>
      </w:r>
    </w:p>
    <w:p>
      <w:pPr>
        <w:pStyle w:val="ListParagraph"/>
        <w:numPr>
          <w:ilvl w:val="0"/>
          <w:numId w:val="1"/>
        </w:numPr>
        <w:spacing w:lineRule="exact" w:line="268" w:before="0" w:after="70"/>
        <w:rPr/>
      </w:pPr>
      <w:r>
        <w:rPr/>
        <w:t>Reduced repetitive checking load.</w:t>
      </w:r>
    </w:p>
    <w:p>
      <w:pPr>
        <w:pStyle w:val="ListParagraph"/>
        <w:numPr>
          <w:ilvl w:val="0"/>
          <w:numId w:val="1"/>
        </w:numPr>
        <w:spacing w:lineRule="exact" w:line="268" w:before="0" w:after="70"/>
        <w:rPr/>
      </w:pPr>
      <w:r>
        <w:rPr/>
        <w:t>AI generated feedback and clear student weakness reports.</w:t>
      </w:r>
    </w:p>
    <w:p>
      <w:pPr>
        <w:pStyle w:val="ListParagraph"/>
        <w:numPr>
          <w:ilvl w:val="0"/>
          <w:numId w:val="1"/>
        </w:numPr>
        <w:spacing w:lineRule="exact" w:line="268" w:before="0" w:after="70"/>
        <w:rPr/>
      </w:pPr>
      <w:r>
        <w:rPr/>
        <w:t>Easier, more transparent re evaluation handling.</w:t>
      </w:r>
    </w:p>
    <w:p>
      <w:pPr>
        <w:pStyle w:val="ListParagraph"/>
        <w:numPr>
          <w:ilvl w:val="0"/>
          <w:numId w:val="1"/>
        </w:numPr>
        <w:spacing w:lineRule="exact" w:line="268" w:before="0" w:after="70"/>
        <w:rPr/>
      </w:pPr>
      <w:r>
        <w:rPr/>
        <w:t>Better resource distribution and academic planning.</w:t>
      </w:r>
    </w:p>
    <w:p>
      <w:pPr>
        <w:pStyle w:val="ListParagraph"/>
        <w:numPr>
          <w:ilvl w:val="0"/>
          <w:numId w:val="1"/>
        </w:numPr>
        <w:spacing w:lineRule="exact" w:line="268" w:before="0" w:after="70"/>
        <w:rPr/>
      </w:pPr>
      <w:r>
        <w:rPr/>
        <w:t>Final academic authority retained at every stage.</w:t>
      </w:r>
    </w:p>
    <w:p>
      <w:pPr>
        <w:pStyle w:val="Heading1"/>
        <w:rPr/>
      </w:pPr>
      <w:bookmarkStart w:id="30" w:name="__RefHeading___Toc381_3779541937"/>
      <w:bookmarkEnd w:id="30"/>
      <w:r>
        <w:rPr/>
        <w:t>18.  Benefits for Management</w:t>
      </w:r>
    </w:p>
    <w:p>
      <w:pPr>
        <w:pStyle w:val="ListParagraph"/>
        <w:numPr>
          <w:ilvl w:val="0"/>
          <w:numId w:val="1"/>
        </w:numPr>
        <w:spacing w:lineRule="exact" w:line="268" w:before="0" w:after="70"/>
        <w:rPr/>
      </w:pPr>
      <w:r>
        <w:rPr/>
        <w:t>A live view of academic performance and integrity.</w:t>
      </w:r>
    </w:p>
    <w:p>
      <w:pPr>
        <w:pStyle w:val="ListParagraph"/>
        <w:numPr>
          <w:ilvl w:val="0"/>
          <w:numId w:val="1"/>
        </w:numPr>
        <w:spacing w:lineRule="exact" w:line="268" w:before="0" w:after="70"/>
        <w:rPr/>
      </w:pPr>
      <w:r>
        <w:rPr/>
        <w:t>Greater consistency and fairness in evaluation.</w:t>
      </w:r>
    </w:p>
    <w:p>
      <w:pPr>
        <w:pStyle w:val="ListParagraph"/>
        <w:numPr>
          <w:ilvl w:val="0"/>
          <w:numId w:val="1"/>
        </w:numPr>
        <w:spacing w:lineRule="exact" w:line="268" w:before="0" w:after="70"/>
        <w:rPr/>
      </w:pPr>
      <w:r>
        <w:rPr/>
        <w:t>A more trustworthy rechecking process.</w:t>
      </w:r>
    </w:p>
    <w:p>
      <w:pPr>
        <w:pStyle w:val="ListParagraph"/>
        <w:numPr>
          <w:ilvl w:val="0"/>
          <w:numId w:val="1"/>
        </w:numPr>
        <w:spacing w:lineRule="exact" w:line="268" w:before="0" w:after="70"/>
        <w:rPr/>
      </w:pPr>
      <w:r>
        <w:rPr/>
        <w:t>Data driven academic decisions at class, subject and chapter level.</w:t>
      </w:r>
    </w:p>
    <w:p>
      <w:pPr>
        <w:pStyle w:val="ListParagraph"/>
        <w:numPr>
          <w:ilvl w:val="0"/>
          <w:numId w:val="1"/>
        </w:numPr>
        <w:spacing w:lineRule="exact" w:line="268" w:before="0" w:after="70"/>
        <w:rPr/>
      </w:pPr>
      <w:r>
        <w:rPr/>
        <w:t>Stronger school technology positioning.</w:t>
      </w:r>
    </w:p>
    <w:p>
      <w:pPr>
        <w:pStyle w:val="ListParagraph"/>
        <w:numPr>
          <w:ilvl w:val="0"/>
          <w:numId w:val="1"/>
        </w:numPr>
        <w:spacing w:lineRule="exact" w:line="268" w:before="0" w:after="70"/>
        <w:rPr/>
      </w:pPr>
      <w:r>
        <w:rPr/>
        <w:t>Greater parent confidence in fairness and transparency.</w:t>
      </w:r>
    </w:p>
    <w:p>
      <w:pPr>
        <w:pStyle w:val="Heading1"/>
        <w:rPr/>
      </w:pPr>
      <w:bookmarkStart w:id="31" w:name="__RefHeading___Toc383_3779541937"/>
      <w:bookmarkEnd w:id="31"/>
      <w:r>
        <w:rPr/>
        <w:t>19.  Safety, Privacy and Human Control</w:t>
      </w:r>
    </w:p>
    <w:p>
      <w:pPr>
        <w:pStyle w:val="Normal"/>
        <w:spacing w:lineRule="exact" w:line="276" w:before="0" w:after="140"/>
        <w:rPr/>
      </w:pPr>
      <w:r>
        <w:rPr/>
        <w:t>The platform would be designed around three principles.</w:t>
      </w:r>
    </w:p>
    <w:p>
      <w:pPr>
        <w:pStyle w:val="ListParagraph"/>
        <w:numPr>
          <w:ilvl w:val="0"/>
          <w:numId w:val="1"/>
        </w:numPr>
        <w:spacing w:lineRule="exact" w:line="268" w:before="0" w:after="70"/>
        <w:rPr/>
      </w:pPr>
      <w:r>
        <w:rPr>
          <w:b/>
          <w:bCs/>
        </w:rPr>
        <w:t xml:space="preserve">Human control. </w:t>
      </w:r>
      <w:r>
        <w:rPr/>
        <w:t>Teachers hold final authority over every mark and every re evaluation outcome. AI suggestions are advisory.</w:t>
      </w:r>
    </w:p>
    <w:p>
      <w:pPr>
        <w:pStyle w:val="ListParagraph"/>
        <w:numPr>
          <w:ilvl w:val="0"/>
          <w:numId w:val="1"/>
        </w:numPr>
        <w:spacing w:lineRule="exact" w:line="268" w:before="0" w:after="70"/>
        <w:rPr/>
      </w:pPr>
      <w:r>
        <w:rPr>
          <w:b/>
          <w:bCs/>
        </w:rPr>
        <w:t xml:space="preserve">Privacy by design. </w:t>
      </w:r>
      <w:r>
        <w:rPr/>
        <w:t>Student records, scripts and analytics would be access controlled by role, so each user sees only what their role requires.</w:t>
      </w:r>
    </w:p>
    <w:p>
      <w:pPr>
        <w:pStyle w:val="ListParagraph"/>
        <w:numPr>
          <w:ilvl w:val="0"/>
          <w:numId w:val="1"/>
        </w:numPr>
        <w:spacing w:lineRule="exact" w:line="268" w:before="0" w:after="70"/>
        <w:rPr/>
      </w:pPr>
      <w:r>
        <w:rPr>
          <w:b/>
          <w:bCs/>
        </w:rPr>
        <w:t xml:space="preserve">Transparency. </w:t>
      </w:r>
      <w:r>
        <w:rPr/>
        <w:t>Audit trails would preserve the original marks, the AI suggestion, the teacher decision, the reason and the reviewer, so every outcome can be explained.</w:t>
      </w:r>
    </w:p>
    <w:p>
      <w:pPr>
        <w:pStyle w:val="Normal"/>
        <w:spacing w:lineRule="exact" w:line="276" w:before="0" w:after="140"/>
        <w:rPr/>
      </w:pPr>
      <w:r>
        <w:rPr/>
        <w:t>These principles would guide detailed design, including data handling, retention and consent, during the planning phase.</w:t>
      </w:r>
    </w:p>
    <w:p>
      <w:pPr>
        <w:pStyle w:val="Heading1"/>
        <w:rPr/>
      </w:pPr>
      <w:bookmarkStart w:id="32" w:name="__RefHeading___Toc385_3779541937"/>
      <w:bookmarkEnd w:id="32"/>
      <w:r>
        <w:rPr/>
        <w:t>20.  Future Expansion</w:t>
      </w:r>
    </w:p>
    <w:p>
      <w:pPr>
        <w:pStyle w:val="Normal"/>
        <w:spacing w:lineRule="exact" w:line="276" w:before="0" w:after="140"/>
        <w:rPr/>
      </w:pPr>
      <w:r>
        <w:rPr/>
        <w:t>Once the core platform is established, several extensions could be considered in future phases:</w:t>
      </w:r>
    </w:p>
    <w:p>
      <w:pPr>
        <w:pStyle w:val="ListParagraph"/>
        <w:numPr>
          <w:ilvl w:val="0"/>
          <w:numId w:val="1"/>
        </w:numPr>
        <w:spacing w:lineRule="exact" w:line="268" w:before="0" w:after="70"/>
        <w:rPr/>
      </w:pPr>
      <w:r>
        <w:rPr/>
        <w:t>A parent view offering a clear, encouraging summary of progress.</w:t>
      </w:r>
    </w:p>
    <w:p>
      <w:pPr>
        <w:pStyle w:val="ListParagraph"/>
        <w:numPr>
          <w:ilvl w:val="0"/>
          <w:numId w:val="1"/>
        </w:numPr>
        <w:spacing w:lineRule="exact" w:line="268" w:before="0" w:after="70"/>
        <w:rPr/>
      </w:pPr>
      <w:r>
        <w:rPr/>
        <w:t>Predictive insights that highlight students who may need early support.</w:t>
      </w:r>
    </w:p>
    <w:p>
      <w:pPr>
        <w:pStyle w:val="ListParagraph"/>
        <w:numPr>
          <w:ilvl w:val="0"/>
          <w:numId w:val="1"/>
        </w:numPr>
        <w:spacing w:lineRule="exact" w:line="268" w:before="0" w:after="70"/>
        <w:rPr/>
      </w:pPr>
      <w:r>
        <w:rPr/>
        <w:t>Board and external examination preparation pathways.</w:t>
      </w:r>
    </w:p>
    <w:p>
      <w:pPr>
        <w:pStyle w:val="ListParagraph"/>
        <w:numPr>
          <w:ilvl w:val="0"/>
          <w:numId w:val="1"/>
        </w:numPr>
        <w:spacing w:lineRule="exact" w:line="268" w:before="0" w:after="70"/>
        <w:rPr/>
      </w:pPr>
      <w:r>
        <w:rPr/>
        <w:t>Deeper analytics for curriculum and timetable planning.</w:t>
      </w:r>
    </w:p>
    <w:p>
      <w:pPr>
        <w:pStyle w:val="ListParagraph"/>
        <w:numPr>
          <w:ilvl w:val="0"/>
          <w:numId w:val="1"/>
        </w:numPr>
        <w:spacing w:lineRule="exact" w:line="268" w:before="0" w:after="70"/>
        <w:rPr/>
      </w:pPr>
      <w:r>
        <w:rPr/>
        <w:t>Extension of the model to other Prometheus initiatives where appropriate.</w:t>
      </w:r>
    </w:p>
    <w:p>
      <w:pPr>
        <w:pStyle w:val="Heading1"/>
        <w:rPr/>
      </w:pPr>
      <w:bookmarkStart w:id="33" w:name="__RefHeading___Toc387_3779541937"/>
      <w:bookmarkEnd w:id="33"/>
      <w:r>
        <w:rPr/>
        <w:t>21.  Suggested Implementation Phases</w:t>
      </w:r>
    </w:p>
    <w:p>
      <w:pPr>
        <w:pStyle w:val="Normal"/>
        <w:spacing w:lineRule="exact" w:line="276" w:before="0" w:after="140"/>
        <w:rPr/>
      </w:pPr>
      <w:r>
        <w:rPr/>
        <w:t>A phased approach is proposed, so that value is delivered early and each phase builds on a proven foundation.</w:t>
      </w:r>
    </w:p>
    <w:tbl>
      <w:tblPr>
        <w:tblW w:w="9360" w:type="dxa"/>
        <w:jc w:val="left"/>
        <w:tblInd w:w="0" w:type="dxa"/>
        <w:tblLayout w:type="fixed"/>
        <w:tblCellMar>
          <w:top w:w="90" w:type="dxa"/>
          <w:left w:w="150" w:type="dxa"/>
          <w:bottom w:w="90" w:type="dxa"/>
          <w:right w:w="150" w:type="dxa"/>
        </w:tblCellMar>
      </w:tblPr>
      <w:tblGrid>
        <w:gridCol w:w="1500"/>
        <w:gridCol w:w="4559"/>
        <w:gridCol w:w="3301"/>
      </w:tblGrid>
      <w:tr>
        <w:trPr>
          <w:tblHeader w:val="true"/>
        </w:trPr>
        <w:tc>
          <w:tcPr>
            <w:tcW w:w="1500" w:type="dxa"/>
            <w:tcBorders>
              <w:top w:val="single" w:sz="2" w:space="0" w:color="FFFFFF"/>
              <w:left w:val="single" w:sz="2" w:space="0" w:color="FFFFFF"/>
              <w:bottom w:val="single" w:sz="2" w:space="0" w:color="FFFFFF"/>
              <w:right w:val="single" w:sz="2" w:space="0" w:color="FFFFFF"/>
            </w:tcBorders>
            <w:shd w:fill="141A3C" w:val="clear"/>
            <w:vAlign w:val="center"/>
          </w:tcPr>
          <w:p>
            <w:pPr>
              <w:pStyle w:val="Normal"/>
              <w:spacing w:lineRule="exact" w:line="264" w:before="0" w:after="0"/>
              <w:rPr/>
            </w:pPr>
            <w:r>
              <w:rPr>
                <w:b/>
                <w:bCs/>
                <w:color w:val="FFFFFF"/>
                <w:sz w:val="20"/>
                <w:szCs w:val="20"/>
              </w:rPr>
              <w:t>Phase</w:t>
            </w:r>
          </w:p>
        </w:tc>
        <w:tc>
          <w:tcPr>
            <w:tcW w:w="4559" w:type="dxa"/>
            <w:tcBorders>
              <w:top w:val="single" w:sz="2" w:space="0" w:color="FFFFFF"/>
              <w:left w:val="single" w:sz="2" w:space="0" w:color="FFFFFF"/>
              <w:bottom w:val="single" w:sz="2" w:space="0" w:color="FFFFFF"/>
              <w:right w:val="single" w:sz="2" w:space="0" w:color="FFFFFF"/>
            </w:tcBorders>
            <w:shd w:fill="141A3C" w:val="clear"/>
            <w:vAlign w:val="center"/>
          </w:tcPr>
          <w:p>
            <w:pPr>
              <w:pStyle w:val="Normal"/>
              <w:spacing w:lineRule="exact" w:line="264" w:before="0" w:after="0"/>
              <w:rPr/>
            </w:pPr>
            <w:r>
              <w:rPr>
                <w:b/>
                <w:bCs/>
                <w:color w:val="FFFFFF"/>
                <w:sz w:val="20"/>
                <w:szCs w:val="20"/>
              </w:rPr>
              <w:t>Scope</w:t>
            </w:r>
          </w:p>
        </w:tc>
        <w:tc>
          <w:tcPr>
            <w:tcW w:w="3301" w:type="dxa"/>
            <w:tcBorders>
              <w:top w:val="single" w:sz="2" w:space="0" w:color="FFFFFF"/>
              <w:left w:val="single" w:sz="2" w:space="0" w:color="FFFFFF"/>
              <w:bottom w:val="single" w:sz="2" w:space="0" w:color="FFFFFF"/>
              <w:right w:val="single" w:sz="2" w:space="0" w:color="FFFFFF"/>
            </w:tcBorders>
            <w:shd w:fill="141A3C" w:val="clear"/>
            <w:vAlign w:val="center"/>
          </w:tcPr>
          <w:p>
            <w:pPr>
              <w:pStyle w:val="Normal"/>
              <w:spacing w:lineRule="exact" w:line="264" w:before="0" w:after="0"/>
              <w:rPr/>
            </w:pPr>
            <w:r>
              <w:rPr>
                <w:b/>
                <w:bCs/>
                <w:color w:val="FFFFFF"/>
                <w:sz w:val="20"/>
                <w:szCs w:val="20"/>
              </w:rPr>
              <w:t>Outcome</w:t>
            </w:r>
          </w:p>
        </w:tc>
      </w:tr>
      <w:tr>
        <w:trPr/>
        <w:tc>
          <w:tcPr>
            <w:tcW w:w="1500" w:type="dxa"/>
            <w:tcBorders>
              <w:top w:val="single" w:sz="2" w:space="0" w:color="FFFFFF"/>
              <w:left w:val="single" w:sz="2" w:space="0" w:color="FFFFFF"/>
              <w:bottom w:val="single" w:sz="2" w:space="0" w:color="FFFFFF"/>
              <w:right w:val="single" w:sz="2" w:space="0" w:color="FFFFFF"/>
            </w:tcBorders>
            <w:shd w:fill="FFFFFF" w:val="clear"/>
            <w:vAlign w:val="center"/>
          </w:tcPr>
          <w:p>
            <w:pPr>
              <w:pStyle w:val="Normal"/>
              <w:spacing w:lineRule="exact" w:line="264" w:before="0" w:after="0"/>
              <w:rPr/>
            </w:pPr>
            <w:r>
              <w:rPr>
                <w:b/>
                <w:bCs/>
                <w:color w:val="B9760A"/>
                <w:sz w:val="20"/>
                <w:szCs w:val="20"/>
              </w:rPr>
              <w:t>Phase 1</w:t>
            </w:r>
          </w:p>
        </w:tc>
        <w:tc>
          <w:tcPr>
            <w:tcW w:w="4559" w:type="dxa"/>
            <w:tcBorders>
              <w:top w:val="single" w:sz="2" w:space="0" w:color="FFFFFF"/>
              <w:left w:val="single" w:sz="2" w:space="0" w:color="FFFFFF"/>
              <w:bottom w:val="single" w:sz="2" w:space="0" w:color="FFFFFF"/>
              <w:right w:val="single" w:sz="2" w:space="0" w:color="FFFFFF"/>
            </w:tcBorders>
            <w:shd w:fill="FFFFFF" w:val="clear"/>
            <w:vAlign w:val="center"/>
          </w:tcPr>
          <w:p>
            <w:pPr>
              <w:pStyle w:val="Normal"/>
              <w:spacing w:lineRule="exact" w:line="264" w:before="0" w:after="0"/>
              <w:rPr/>
            </w:pPr>
            <w:r>
              <w:rPr>
                <w:b w:val="false"/>
                <w:bCs w:val="false"/>
                <w:sz w:val="20"/>
                <w:szCs w:val="20"/>
              </w:rPr>
              <w:t>Study Library, basic login and teacher uploads</w:t>
            </w:r>
          </w:p>
        </w:tc>
        <w:tc>
          <w:tcPr>
            <w:tcW w:w="3301" w:type="dxa"/>
            <w:tcBorders>
              <w:top w:val="single" w:sz="2" w:space="0" w:color="FFFFFF"/>
              <w:left w:val="single" w:sz="2" w:space="0" w:color="FFFFFF"/>
              <w:bottom w:val="single" w:sz="2" w:space="0" w:color="FFFFFF"/>
              <w:right w:val="single" w:sz="2" w:space="0" w:color="FFFFFF"/>
            </w:tcBorders>
            <w:shd w:fill="FFFFFF" w:val="clear"/>
            <w:vAlign w:val="center"/>
          </w:tcPr>
          <w:p>
            <w:pPr>
              <w:pStyle w:val="Normal"/>
              <w:spacing w:lineRule="exact" w:line="264" w:before="0" w:after="0"/>
              <w:rPr/>
            </w:pPr>
            <w:r>
              <w:rPr>
                <w:b w:val="false"/>
                <w:bCs w:val="false"/>
                <w:sz w:val="20"/>
                <w:szCs w:val="20"/>
              </w:rPr>
              <w:t>A single, organised home for approved resources.</w:t>
            </w:r>
          </w:p>
        </w:tc>
      </w:tr>
      <w:tr>
        <w:trPr/>
        <w:tc>
          <w:tcPr>
            <w:tcW w:w="1500" w:type="dxa"/>
            <w:tcBorders>
              <w:top w:val="single" w:sz="2" w:space="0" w:color="FFFFFF"/>
              <w:left w:val="single" w:sz="2" w:space="0" w:color="FFFFFF"/>
              <w:bottom w:val="single" w:sz="2" w:space="0" w:color="FFFFFF"/>
              <w:right w:val="single" w:sz="2" w:space="0" w:color="FFFFFF"/>
            </w:tcBorders>
            <w:shd w:fill="F4F6FB" w:val="clear"/>
            <w:vAlign w:val="center"/>
          </w:tcPr>
          <w:p>
            <w:pPr>
              <w:pStyle w:val="Normal"/>
              <w:spacing w:lineRule="exact" w:line="264" w:before="0" w:after="0"/>
              <w:rPr/>
            </w:pPr>
            <w:r>
              <w:rPr>
                <w:b/>
                <w:bCs/>
                <w:color w:val="B9760A"/>
                <w:sz w:val="20"/>
                <w:szCs w:val="20"/>
              </w:rPr>
              <w:t>Phase 2</w:t>
            </w:r>
          </w:p>
        </w:tc>
        <w:tc>
          <w:tcPr>
            <w:tcW w:w="4559" w:type="dxa"/>
            <w:tcBorders>
              <w:top w:val="single" w:sz="2" w:space="0" w:color="FFFFFF"/>
              <w:left w:val="single" w:sz="2" w:space="0" w:color="FFFFFF"/>
              <w:bottom w:val="single" w:sz="2" w:space="0" w:color="FFFFFF"/>
              <w:right w:val="single" w:sz="2" w:space="0" w:color="FFFFFF"/>
            </w:tcBorders>
            <w:shd w:fill="F4F6FB" w:val="clear"/>
            <w:vAlign w:val="center"/>
          </w:tcPr>
          <w:p>
            <w:pPr>
              <w:pStyle w:val="Normal"/>
              <w:spacing w:lineRule="exact" w:line="264" w:before="0" w:after="0"/>
              <w:rPr/>
            </w:pPr>
            <w:r>
              <w:rPr>
                <w:b w:val="false"/>
                <w:bCs w:val="false"/>
                <w:sz w:val="20"/>
                <w:szCs w:val="20"/>
              </w:rPr>
              <w:t>EduAI Mock Lab and AI Self Analysis</w:t>
            </w:r>
          </w:p>
        </w:tc>
        <w:tc>
          <w:tcPr>
            <w:tcW w:w="3301" w:type="dxa"/>
            <w:tcBorders>
              <w:top w:val="single" w:sz="2" w:space="0" w:color="FFFFFF"/>
              <w:left w:val="single" w:sz="2" w:space="0" w:color="FFFFFF"/>
              <w:bottom w:val="single" w:sz="2" w:space="0" w:color="FFFFFF"/>
              <w:right w:val="single" w:sz="2" w:space="0" w:color="FFFFFF"/>
            </w:tcBorders>
            <w:shd w:fill="F4F6FB" w:val="clear"/>
            <w:vAlign w:val="center"/>
          </w:tcPr>
          <w:p>
            <w:pPr>
              <w:pStyle w:val="Normal"/>
              <w:spacing w:lineRule="exact" w:line="264" w:before="0" w:after="0"/>
              <w:rPr/>
            </w:pPr>
            <w:r>
              <w:rPr>
                <w:b w:val="false"/>
                <w:bCs w:val="false"/>
                <w:sz w:val="20"/>
                <w:szCs w:val="20"/>
              </w:rPr>
              <w:t>Practice with fast, supportive feedback.</w:t>
            </w:r>
          </w:p>
        </w:tc>
      </w:tr>
      <w:tr>
        <w:trPr/>
        <w:tc>
          <w:tcPr>
            <w:tcW w:w="1500" w:type="dxa"/>
            <w:tcBorders>
              <w:top w:val="single" w:sz="2" w:space="0" w:color="FFFFFF"/>
              <w:left w:val="single" w:sz="2" w:space="0" w:color="FFFFFF"/>
              <w:bottom w:val="single" w:sz="2" w:space="0" w:color="FFFFFF"/>
              <w:right w:val="single" w:sz="2" w:space="0" w:color="FFFFFF"/>
            </w:tcBorders>
            <w:shd w:fill="FFFFFF" w:val="clear"/>
            <w:vAlign w:val="center"/>
          </w:tcPr>
          <w:p>
            <w:pPr>
              <w:pStyle w:val="Normal"/>
              <w:spacing w:lineRule="exact" w:line="264" w:before="0" w:after="0"/>
              <w:rPr/>
            </w:pPr>
            <w:r>
              <w:rPr>
                <w:b/>
                <w:bCs/>
                <w:color w:val="B9760A"/>
                <w:sz w:val="20"/>
                <w:szCs w:val="20"/>
              </w:rPr>
              <w:t>Phase 3</w:t>
            </w:r>
          </w:p>
        </w:tc>
        <w:tc>
          <w:tcPr>
            <w:tcW w:w="4559" w:type="dxa"/>
            <w:tcBorders>
              <w:top w:val="single" w:sz="2" w:space="0" w:color="FFFFFF"/>
              <w:left w:val="single" w:sz="2" w:space="0" w:color="FFFFFF"/>
              <w:bottom w:val="single" w:sz="2" w:space="0" w:color="FFFFFF"/>
              <w:right w:val="single" w:sz="2" w:space="0" w:color="FFFFFF"/>
            </w:tcBorders>
            <w:shd w:fill="FFFFFF" w:val="clear"/>
            <w:vAlign w:val="center"/>
          </w:tcPr>
          <w:p>
            <w:pPr>
              <w:pStyle w:val="Normal"/>
              <w:spacing w:lineRule="exact" w:line="264" w:before="0" w:after="0"/>
              <w:rPr/>
            </w:pPr>
            <w:r>
              <w:rPr>
                <w:b w:val="false"/>
                <w:bCs w:val="false"/>
                <w:sz w:val="20"/>
                <w:szCs w:val="20"/>
              </w:rPr>
              <w:t>AI Marking Assistant and ExamVault</w:t>
            </w:r>
          </w:p>
        </w:tc>
        <w:tc>
          <w:tcPr>
            <w:tcW w:w="3301" w:type="dxa"/>
            <w:tcBorders>
              <w:top w:val="single" w:sz="2" w:space="0" w:color="FFFFFF"/>
              <w:left w:val="single" w:sz="2" w:space="0" w:color="FFFFFF"/>
              <w:bottom w:val="single" w:sz="2" w:space="0" w:color="FFFFFF"/>
              <w:right w:val="single" w:sz="2" w:space="0" w:color="FFFFFF"/>
            </w:tcBorders>
            <w:shd w:fill="FFFFFF" w:val="clear"/>
            <w:vAlign w:val="center"/>
          </w:tcPr>
          <w:p>
            <w:pPr>
              <w:pStyle w:val="Normal"/>
              <w:spacing w:lineRule="exact" w:line="264" w:before="0" w:after="0"/>
              <w:rPr/>
            </w:pPr>
            <w:r>
              <w:rPr>
                <w:b w:val="false"/>
                <w:bCs w:val="false"/>
                <w:sz w:val="20"/>
                <w:szCs w:val="20"/>
              </w:rPr>
              <w:t>Consistent evaluation support and locked records.</w:t>
            </w:r>
          </w:p>
        </w:tc>
      </w:tr>
      <w:tr>
        <w:trPr/>
        <w:tc>
          <w:tcPr>
            <w:tcW w:w="1500" w:type="dxa"/>
            <w:tcBorders>
              <w:top w:val="single" w:sz="2" w:space="0" w:color="FFFFFF"/>
              <w:left w:val="single" w:sz="2" w:space="0" w:color="FFFFFF"/>
              <w:bottom w:val="single" w:sz="2" w:space="0" w:color="FFFFFF"/>
              <w:right w:val="single" w:sz="2" w:space="0" w:color="FFFFFF"/>
            </w:tcBorders>
            <w:shd w:fill="F4F6FB" w:val="clear"/>
            <w:vAlign w:val="center"/>
          </w:tcPr>
          <w:p>
            <w:pPr>
              <w:pStyle w:val="Normal"/>
              <w:spacing w:lineRule="exact" w:line="264" w:before="0" w:after="0"/>
              <w:rPr/>
            </w:pPr>
            <w:r>
              <w:rPr>
                <w:b/>
                <w:bCs/>
                <w:color w:val="B9760A"/>
                <w:sz w:val="20"/>
                <w:szCs w:val="20"/>
              </w:rPr>
              <w:t>Phase 4</w:t>
            </w:r>
          </w:p>
        </w:tc>
        <w:tc>
          <w:tcPr>
            <w:tcW w:w="4559" w:type="dxa"/>
            <w:tcBorders>
              <w:top w:val="single" w:sz="2" w:space="0" w:color="FFFFFF"/>
              <w:left w:val="single" w:sz="2" w:space="0" w:color="FFFFFF"/>
              <w:bottom w:val="single" w:sz="2" w:space="0" w:color="FFFFFF"/>
              <w:right w:val="single" w:sz="2" w:space="0" w:color="FFFFFF"/>
            </w:tcBorders>
            <w:shd w:fill="F4F6FB" w:val="clear"/>
            <w:vAlign w:val="center"/>
          </w:tcPr>
          <w:p>
            <w:pPr>
              <w:pStyle w:val="Normal"/>
              <w:spacing w:lineRule="exact" w:line="264" w:before="0" w:after="0"/>
              <w:rPr/>
            </w:pPr>
            <w:r>
              <w:rPr>
                <w:b w:val="false"/>
                <w:bCs w:val="false"/>
                <w:sz w:val="20"/>
                <w:szCs w:val="20"/>
              </w:rPr>
              <w:t>Re evaluation Portal and HOD Dashboard</w:t>
            </w:r>
          </w:p>
        </w:tc>
        <w:tc>
          <w:tcPr>
            <w:tcW w:w="3301" w:type="dxa"/>
            <w:tcBorders>
              <w:top w:val="single" w:sz="2" w:space="0" w:color="FFFFFF"/>
              <w:left w:val="single" w:sz="2" w:space="0" w:color="FFFFFF"/>
              <w:bottom w:val="single" w:sz="2" w:space="0" w:color="FFFFFF"/>
              <w:right w:val="single" w:sz="2" w:space="0" w:color="FFFFFF"/>
            </w:tcBorders>
            <w:shd w:fill="F4F6FB" w:val="clear"/>
            <w:vAlign w:val="center"/>
          </w:tcPr>
          <w:p>
            <w:pPr>
              <w:pStyle w:val="Normal"/>
              <w:spacing w:lineRule="exact" w:line="264" w:before="0" w:after="0"/>
              <w:rPr/>
            </w:pPr>
            <w:r>
              <w:rPr>
                <w:b w:val="false"/>
                <w:bCs w:val="false"/>
                <w:sz w:val="20"/>
                <w:szCs w:val="20"/>
              </w:rPr>
              <w:t>Transparent rechecking and leadership visibility.</w:t>
            </w:r>
          </w:p>
        </w:tc>
      </w:tr>
      <w:tr>
        <w:trPr/>
        <w:tc>
          <w:tcPr>
            <w:tcW w:w="1500" w:type="dxa"/>
            <w:tcBorders>
              <w:top w:val="single" w:sz="2" w:space="0" w:color="FFFFFF"/>
              <w:left w:val="single" w:sz="2" w:space="0" w:color="FFFFFF"/>
              <w:bottom w:val="single" w:sz="2" w:space="0" w:color="FFFFFF"/>
              <w:right w:val="single" w:sz="2" w:space="0" w:color="FFFFFF"/>
            </w:tcBorders>
            <w:shd w:fill="FFFFFF" w:val="clear"/>
            <w:vAlign w:val="center"/>
          </w:tcPr>
          <w:p>
            <w:pPr>
              <w:pStyle w:val="Normal"/>
              <w:spacing w:lineRule="exact" w:line="264" w:before="0" w:after="0"/>
              <w:rPr/>
            </w:pPr>
            <w:r>
              <w:rPr>
                <w:b/>
                <w:bCs/>
                <w:color w:val="B9760A"/>
                <w:sz w:val="20"/>
                <w:szCs w:val="20"/>
              </w:rPr>
              <w:t>Phase 5</w:t>
            </w:r>
          </w:p>
        </w:tc>
        <w:tc>
          <w:tcPr>
            <w:tcW w:w="4559" w:type="dxa"/>
            <w:tcBorders>
              <w:top w:val="single" w:sz="2" w:space="0" w:color="FFFFFF"/>
              <w:left w:val="single" w:sz="2" w:space="0" w:color="FFFFFF"/>
              <w:bottom w:val="single" w:sz="2" w:space="0" w:color="FFFFFF"/>
              <w:right w:val="single" w:sz="2" w:space="0" w:color="FFFFFF"/>
            </w:tcBorders>
            <w:shd w:fill="FFFFFF" w:val="clear"/>
            <w:vAlign w:val="center"/>
          </w:tcPr>
          <w:p>
            <w:pPr>
              <w:pStyle w:val="Normal"/>
              <w:spacing w:lineRule="exact" w:line="264" w:before="0" w:after="0"/>
              <w:rPr/>
            </w:pPr>
            <w:r>
              <w:rPr>
                <w:b w:val="false"/>
                <w:bCs w:val="false"/>
                <w:sz w:val="20"/>
                <w:szCs w:val="20"/>
              </w:rPr>
              <w:t>EduAI Arena, Promi and advanced analytics</w:t>
            </w:r>
          </w:p>
        </w:tc>
        <w:tc>
          <w:tcPr>
            <w:tcW w:w="3301" w:type="dxa"/>
            <w:tcBorders>
              <w:top w:val="single" w:sz="2" w:space="0" w:color="FFFFFF"/>
              <w:left w:val="single" w:sz="2" w:space="0" w:color="FFFFFF"/>
              <w:bottom w:val="single" w:sz="2" w:space="0" w:color="FFFFFF"/>
              <w:right w:val="single" w:sz="2" w:space="0" w:color="FFFFFF"/>
            </w:tcBorders>
            <w:shd w:fill="FFFFFF" w:val="clear"/>
            <w:vAlign w:val="center"/>
          </w:tcPr>
          <w:p>
            <w:pPr>
              <w:pStyle w:val="Normal"/>
              <w:spacing w:lineRule="exact" w:line="264" w:before="0" w:after="0"/>
              <w:rPr/>
            </w:pPr>
            <w:r>
              <w:rPr>
                <w:b w:val="false"/>
                <w:bCs w:val="false"/>
                <w:sz w:val="20"/>
                <w:szCs w:val="20"/>
              </w:rPr>
              <w:t>Engagement, motivation and deeper insight.</w:t>
            </w:r>
          </w:p>
        </w:tc>
      </w:tr>
    </w:tbl>
    <w:p>
      <w:pPr>
        <w:pStyle w:val="Heading1"/>
        <w:rPr/>
      </w:pPr>
      <w:bookmarkStart w:id="34" w:name="__RefHeading___Toc389_3779541937"/>
      <w:bookmarkEnd w:id="34"/>
      <w:r>
        <w:rPr/>
        <w:t>22.  Conclusion</w:t>
      </w:r>
    </w:p>
    <w:p>
      <w:pPr>
        <w:pStyle w:val="Normal"/>
        <w:spacing w:lineRule="exact" w:line="276" w:before="0" w:after="140"/>
        <w:rPr/>
      </w:pPr>
      <w:r>
        <w:rPr/>
        <w:t>Prometheus EduAI is proposed as a single, connected academic intelligence system that helps students learn smarter, helps teachers evaluate better and protects the integrity of every result. It is true to the school's belief in the unique learner and in authentic credentialing, and it keeps teachers firmly at the centre.</w:t>
      </w:r>
    </w:p>
    <w:p>
      <w:pPr>
        <w:pStyle w:val="Normal"/>
        <w:spacing w:lineRule="exact" w:line="276" w:before="0" w:after="140"/>
        <w:rPr/>
      </w:pPr>
      <w:r>
        <w:rPr>
          <w:b/>
          <w:bCs/>
        </w:rPr>
        <w:t xml:space="preserve">We seek approval to proceed to detailed planning and a focused prototype, delivered in phases, beginning with the foundation modules. </w:t>
      </w:r>
      <w:r>
        <w:rPr/>
        <w:t>With that approval, the next step would be a detailed plan and a first prototype for review.</w:t>
      </w:r>
    </w:p>
    <w:p>
      <w:pPr>
        <w:pStyle w:val="Normal"/>
        <w:spacing w:before="0" w:after="80"/>
        <w:rPr/>
      </w:pPr>
      <w:r>
        <w:rPr/>
      </w:r>
    </w:p>
    <w:p>
      <w:pPr>
        <w:pStyle w:val="Normal"/>
        <w:spacing w:before="80" w:after="0"/>
        <w:jc w:val="center"/>
        <w:rPr/>
      </w:pPr>
      <w:r>
        <w:rPr>
          <w:i/>
          <w:iCs/>
          <w:color w:val="B9760A"/>
          <w:sz w:val="24"/>
          <w:szCs w:val="24"/>
        </w:rPr>
        <w:t>Smarter Learning.  Fairer Evaluation.  Stronger Integrity.</w:t>
      </w:r>
    </w:p>
    <w:sectPr>
      <w:headerReference w:type="default" r:id="rId3"/>
      <w:footerReference w:type="default" r:id="rId4"/>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swiss"/>
    <w:pitch w:val="variable"/>
  </w:font>
  <w:font w:name="Calibri">
    <w:charset w:val="01"/>
    <w:family w:val="swiss"/>
    <w:pitch w:val="variable"/>
  </w:font>
  <w:font w:name="Liberation Sans">
    <w:altName w:val="Arial"/>
    <w:charset w:val="01"/>
    <w:family w:val="swiss"/>
    <w:pitch w:val="variable"/>
  </w:font>
  <w:font w:name="Cambria">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6B7185"/>
        <w:sz w:val="16"/>
        <w:szCs w:val="16"/>
      </w:rPr>
      <w:t xml:space="preserve">Page </w:t>
    </w:r>
    <w:r>
      <w:rPr/>
      <w:fldChar w:fldCharType="begin"/>
    </w:r>
    <w:r>
      <w:rPr/>
      <w:instrText xml:space="preserve"> PAGE </w:instrText>
    </w:r>
    <w:r>
      <w:rPr/>
      <w:fldChar w:fldCharType="separate"/>
    </w:r>
    <w:r>
      <w:rPr/>
      <w:t>11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D9DCEA"/>
      </w:pBdr>
      <w:spacing w:before="0" w:after="0"/>
      <w:rPr/>
    </w:pPr>
    <w:r>
      <w:rPr>
        <w:rFonts w:eastAsia="Calibri" w:cs="Calibri"/>
        <w:b/>
        <w:bCs/>
        <w:color w:val="141A3C"/>
        <w:sz w:val="16"/>
        <w:szCs w:val="16"/>
      </w:rPr>
      <w:t>Prometheus EduAI</w:t>
    </w:r>
    <w:r>
      <w:rPr>
        <w:rFonts w:eastAsia="Calibri" w:cs="Calibri"/>
        <w:color w:val="6B7185"/>
        <w:sz w:val="16"/>
        <w:szCs w:val="16"/>
      </w:rPr>
      <w:t xml:space="preserve">    Concept Approval Proposal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60" w:hanging="260"/>
      </w:pPr>
      <w:rPr>
        <w:rFonts w:ascii="Symbol" w:hAnsi="Symbol" w:cs="Symbol" w:hint="default"/>
        <w:color w:val="11887A"/>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46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262B40"/>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262B40"/>
      <w:kern w:val="0"/>
      <w:sz w:val="22"/>
      <w:szCs w:val="22"/>
      <w:lang w:val="en-US" w:eastAsia="zh-CN" w:bidi="hi-IN"/>
    </w:rPr>
  </w:style>
  <w:style w:type="paragraph" w:styleId="Heading1">
    <w:name w:val="Heading 1"/>
    <w:basedOn w:val="Heading"/>
    <w:qFormat/>
    <w:pPr>
      <w:pBdr>
        <w:bottom w:val="single" w:sz="6" w:space="6" w:color="11887A"/>
      </w:pBdr>
      <w:spacing w:before="340" w:after="150"/>
      <w:outlineLvl w:val="0"/>
    </w:pPr>
    <w:rPr>
      <w:rFonts w:ascii="Cambria" w:hAnsi="Cambria" w:eastAsia="Cambria" w:cs="Cambria"/>
      <w:b/>
      <w:bCs/>
      <w:color w:val="141A3C"/>
      <w:sz w:val="30"/>
      <w:szCs w:val="30"/>
    </w:rPr>
  </w:style>
  <w:style w:type="paragraph" w:styleId="Heading2">
    <w:name w:val="Heading 2"/>
    <w:basedOn w:val="Heading"/>
    <w:qFormat/>
    <w:pPr>
      <w:spacing w:before="240" w:after="90"/>
      <w:outlineLvl w:val="1"/>
    </w:pPr>
    <w:rPr>
      <w:rFonts w:ascii="Cambria" w:hAnsi="Cambria" w:eastAsia="Cambria" w:cs="Cambria"/>
      <w:b/>
      <w:bCs/>
      <w:color w:val="11887A"/>
      <w:sz w:val="24"/>
      <w:szCs w:val="24"/>
    </w:rPr>
  </w:style>
  <w:style w:type="paragraph" w:styleId="Heading3">
    <w:name w:val="Heading 3"/>
    <w:basedOn w:val="Heading"/>
    <w:qFormat/>
    <w:pPr>
      <w:spacing w:before="160" w:after="60"/>
      <w:outlineLvl w:val="2"/>
    </w:pPr>
    <w:rPr>
      <w:rFonts w:ascii="Calibri" w:hAnsi="Calibri" w:eastAsia="Calibri" w:cs="Calibri"/>
      <w:b/>
      <w:bCs/>
      <w:color w:val="141A3C"/>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262B40"/>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262B40"/>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11</Pages>
  <Words>3000</Words>
  <Characters>17289</Characters>
  <CharactersWithSpaces>20041</CharactersWithSpaces>
  <Paragraphs>211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2026-06-08T10:01:32Z</dcterms:created>
  <dc:creator>Mukesh Sharma</dc:creator>
  <dc:description/>
  <dc:language>en-US</dc:language>
  <cp:lastModifiedBy/>
  <dcterms:modified xsi:type="dcterms:W3CDTF">2026-06-08T10:03:13Z</dcterms:modified>
  <cp:revision>2</cp:revision>
  <dc:subject/>
  <dc:title>Prometheus EduAI Concept Proposal</dc:title>
</cp:coreProperties>
</file>