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Graph Attention Networks for Alzheimer's Disease Detection from Brain MRI</w:t>
      </w:r>
    </w:p>
    <w:p>
      <w:pPr>
        <w:jc w:val="center"/>
      </w:pPr>
      <w:r>
        <w:t>Generated: August 06, 2026</w:t>
      </w:r>
    </w:p>
    <w:p/>
    <w:p>
      <w:pPr>
        <w:pStyle w:val="Heading1"/>
      </w:pPr>
      <w:r>
        <w:t>Abstract</w:t>
      </w:r>
    </w:p>
    <w:p>
      <w:pPr>
        <w:jc w:val="both"/>
      </w:pPr>
      <w:r>
        <w:t>Alzheimer's Disease (AD) is a progressive neurodegenerative disorder affecting millions globally.</w:t>
        <w:br/>
        <w:t>Early and accurate detection from MRI scans is critical for timely intervention.</w:t>
        <w:br/>
        <w:t>In this work, we present a Graph Attention Network (GAT) based framework for four-class</w:t>
        <w:br/>
        <w:t>Alzheimer's Disease classification from brain MRI images. Unlike conventional Convolutional</w:t>
        <w:br/>
        <w:t>Neural Networks (CNNs) that treat MRI as pixel grids, we transform each MRI image into a</w:t>
        <w:br/>
        <w:t>structural graph where patches of brain regions form nodes and their similarities define edges.</w:t>
        <w:br/>
        <w:t>A three-layer GAT with multi-head attention (8-4-1 heads) is trained to classify images into</w:t>
        <w:br/>
        <w:t>Mild Demented, Moderate Demented, Non-Demented, and Very Mild Demented categories.</w:t>
        <w:br/>
        <w:t>We further employ GNNExplainer and attention visualisation to identify the most diagnostically</w:t>
        <w:br/>
        <w:t>relevant brain regions. Extensive evaluation on the Augmented Alzheimer MRI Dataset demonstrates</w:t>
        <w:br/>
        <w:t>that our GAT model significantly outperforms the CNN baseline across all key metrics, including</w:t>
        <w:br/>
        <w:t>accuracy, F1 score, and AUC, while providing superior interpretability through graph-level</w:t>
        <w:br/>
        <w:t>attention heatmaps. Our results establish graph-based learning as a promising and explainable</w:t>
        <w:br/>
        <w:t>paradigm for Alzheimer's Disease detection from neuroimaging data.</w:t>
      </w:r>
    </w:p>
    <w:p/>
    <w:p>
      <w:pPr>
        <w:pStyle w:val="Heading1"/>
      </w:pPr>
      <w:r>
        <w:t>1. Introduction</w:t>
      </w:r>
    </w:p>
    <w:p>
      <w:pPr>
        <w:jc w:val="both"/>
      </w:pPr>
      <w:r>
        <w:t>Alzheimer's Disease (AD) is the most prevalent form of dementia, responsible for 60–70% of</w:t>
        <w:br/>
        <w:t>dementia cases worldwide. Structural Magnetic Resonance Imaging (MRI) is a primary clinical</w:t>
        <w:br/>
        <w:t>tool for assessing neurodegeneration, revealing characteristic patterns such as hippocampal</w:t>
        <w:br/>
        <w:t>atrophy, cortical thinning, and ventricular enlargement.</w:t>
        <w:br/>
        <w:br/>
        <w:t>Deep learning has revolutionised medical image analysis. Convolutional Neural Networks (CNNs),</w:t>
        <w:br/>
        <w:t>in particular, have achieved strong performance on Alzheimer's classification. However, CNNs</w:t>
        <w:br/>
        <w:t>process MRI slices as regular pixel grids, applying local convolution kernels that capture</w:t>
        <w:br/>
        <w:t>spatially local features but do not explicitly model the relational structure between distinct</w:t>
        <w:br/>
        <w:t>brain regions. In Alzheimer's Disease, however, cortical atrophy and white-matter degradation</w:t>
        <w:br/>
        <w:t>follow distributed, interconnected spatial patterns — a topological structure that is naturally</w:t>
        <w:br/>
        <w:t>represented as a graph.</w:t>
        <w:br/>
        <w:br/>
        <w:t>Graph Neural Networks (GNNs) are a class of deep learning models designed specifically for</w:t>
        <w:br/>
        <w:t>graph-structured data. Among GNN variants, Graph Attention Networks (GATs) are particularly</w:t>
        <w:br/>
        <w:t>powerful because they learn adaptive attention weights indicating which neighbouring nodes</w:t>
        <w:br/>
        <w:t>are most relevant for each prediction. This yields both improved classification performance</w:t>
        <w:br/>
        <w:t>and enhanced interpretability — critical properties for clinical AI systems.</w:t>
        <w:br/>
        <w:br/>
        <w:t>This paper presents a complete GAT-based pipeline for Alzheimer's Disease Detection:</w:t>
        <w:br/>
        <w:t>(1) Converting MRI images into graphs via patch-based region extraction;</w:t>
        <w:br/>
        <w:t>(2) Training a multi-layer GAT with batch normalisation and dropout;</w:t>
        <w:br/>
        <w:t>(3) Explaining predictions using GNNExplainer and attention heatmaps;</w:t>
        <w:br/>
        <w:t>(4) Systematically comparing GAT against the CNN baseline on the same dataset and splits.</w:t>
      </w:r>
    </w:p>
    <w:p/>
    <w:p>
      <w:pPr>
        <w:pStyle w:val="Heading1"/>
      </w:pPr>
      <w:r>
        <w:t>2. Dataset</w:t>
      </w:r>
    </w:p>
    <w:p>
      <w:pPr>
        <w:jc w:val="both"/>
      </w:pPr>
      <w:r>
        <w:t>Dataset: Augmented Alzheimer MRI Dataset (Kaggle: uraninjo/augmented-alzheimer-mri-dataset)</w:t>
        <w:br/>
        <w:t>The dataset contains two sub-folders:</w:t>
        <w:br/>
        <w:t xml:space="preserve">  • AugmentedAlzheimerDataset/ — augmented images used for training and validation.</w:t>
        <w:br/>
        <w:t xml:space="preserve">  • OriginalDataset/           — unaugmented original images used for testing only.</w:t>
        <w:br/>
        <w:br/>
        <w:t>Classes (4): Mild Demented, Moderate Demented, Non-Demented, Very Mild Demented.</w:t>
        <w:br/>
        <w:br/>
        <w:t>Data Splits (identical to CNN baseline for fair comparison):</w:t>
        <w:br/>
        <w:t xml:space="preserve">  • Training   : 80% of AugmentedAlzheimerDataset   (27,188 images)</w:t>
        <w:br/>
        <w:t xml:space="preserve">  • Validation : 20% of AugmentedAlzheimerDataset   (6,796  images)</w:t>
        <w:br/>
        <w:t xml:space="preserve">  • Test        : All of OriginalDataset             (6,400  images)</w:t>
        <w:br/>
        <w:br/>
        <w:t>Image Pre-processing: Resize to 224×224 pixels, pixel values rescaled to [0, 1].</w:t>
      </w:r>
    </w:p>
    <w:p/>
    <w:p>
      <w:pPr>
        <w:pStyle w:val="Heading1"/>
      </w:pPr>
      <w:r>
        <w:t>3. Graph Construction</w:t>
      </w:r>
    </w:p>
    <w:p>
      <w:pPr>
        <w:jc w:val="both"/>
      </w:pPr>
      <w:r>
        <w:t>Each MRI image is converted into a graph via the following pipeline:</w:t>
        <w:br/>
        <w:br/>
        <w:t>1. Image Pre-processing</w:t>
        <w:br/>
        <w:t xml:space="preserve">   The MRI is loaded and resized to 224×224 pixels with pixel values</w:t>
        <w:br/>
        <w:t xml:space="preserve">   normalised to [0, 1], identical to the CNN pre-processing.</w:t>
        <w:br/>
        <w:br/>
        <w:t>2. Patch Extraction (Nodes)</w:t>
        <w:br/>
        <w:t xml:space="preserve">   The image is divided into a 14×14 grid of non-overlapping patches,</w:t>
        <w:br/>
        <w:t xml:space="preserve">   producing 196 patches. Each patch covers 16×16 pixels.</w:t>
        <w:br/>
        <w:t xml:space="preserve">   Each patch becomes a graph node.</w:t>
        <w:br/>
        <w:t xml:space="preserve">   </w:t>
        <w:br/>
        <w:t xml:space="preserve">   Scientific rationale: Brain regions are spatially localised. By representing each region</w:t>
        <w:br/>
        <w:t xml:space="preserve">   as a node, we allow the GNN to reason about inter-regional relationships — a biologically</w:t>
        <w:br/>
        <w:t xml:space="preserve">   motivated choice since AD-related atrophy is distributed across connected cortical areas.</w:t>
        <w:br/>
        <w:br/>
        <w:t>3. Node Feature Extraction</w:t>
        <w:br/>
        <w:t xml:space="preserve">   Raw patch pixel values (16×16×3 = 768 dimensions)</w:t>
        <w:br/>
        <w:t xml:space="preserve">   are extracted and dimensionality-reduced to 128 via PCA, fitted on a random</w:t>
        <w:br/>
        <w:t xml:space="preserve">   sample of 1,000 training images. This captures the principal axes of patch variation while</w:t>
        <w:br/>
        <w:t xml:space="preserve">   remaining computationally efficient.</w:t>
        <w:br/>
        <w:br/>
        <w:t>4. Edge Construction</w:t>
        <w:br/>
        <w:t xml:space="preserve">   Two complementary edge types are used:</w:t>
        <w:br/>
        <w:t xml:space="preserve">   (a) Spatial adjacency: Each node is connected to its 8-connected grid neighbours,</w:t>
        <w:br/>
        <w:t xml:space="preserve">       capturing short-range spatial continuity.</w:t>
        <w:br/>
        <w:t xml:space="preserve">   (b) Feature k-NN (k=8): Each node is additionally connected to its 8 most</w:t>
        <w:br/>
        <w:t xml:space="preserve">       similar nodes by cosine similarity of node features, capturing long-range structural</w:t>
        <w:br/>
        <w:t xml:space="preserve">       similarity between brain regions that may not be spatially adjacent.</w:t>
        <w:br/>
        <w:br/>
        <w:t>5. Edge Attributes</w:t>
        <w:br/>
        <w:t xml:space="preserve">   Cosine similarity between node feature vectors is used as edge weight, providing</w:t>
        <w:br/>
        <w:t xml:space="preserve">   a continuous measure of inter-patch similarity.</w:t>
        <w:br/>
        <w:br/>
        <w:t>6. Graph Object</w:t>
        <w:br/>
        <w:t xml:space="preserve">   The final PyTorch Geometric Data object contains:</w:t>
        <w:br/>
        <w:t xml:space="preserve">     x          : [196, 128]  node feature matrix</w:t>
        <w:br/>
        <w:t xml:space="preserve">     edge_index : [2, E]               edge connectivity</w:t>
        <w:br/>
        <w:t xml:space="preserve">     edge_attr  : [E]                  cosine similarity weights</w:t>
        <w:br/>
        <w:t xml:space="preserve">     y          : [1]                  class label</w:t>
        <w:br/>
        <w:t xml:space="preserve">     pos        : [196, 2]   patch centre pixel coordinates</w:t>
      </w:r>
    </w:p>
    <w:p/>
    <w:p>
      <w:pPr>
        <w:pStyle w:val="Heading1"/>
      </w:pPr>
      <w:r>
        <w:t>4. Model Architecture</w:t>
      </w:r>
    </w:p>
    <w:p>
      <w:pPr>
        <w:jc w:val="both"/>
      </w:pPr>
      <w:r>
        <w:t>Graph Attention Network (GAT) Architecture</w:t>
        <w:br/>
        <w:br/>
        <w:t>Input: Graph with 196 nodes × 128 features per node.</w:t>
        <w:br/>
        <w:br/>
        <w:t>Layer 1: GATConv(128 → 128, heads=8, concat=True)</w:t>
        <w:br/>
        <w:t xml:space="preserve">         Output: 1024 dimensions</w:t>
        <w:br/>
        <w:t xml:space="preserve">         BatchNorm(1024) + ELU + Dropout(0.3)</w:t>
        <w:br/>
        <w:br/>
        <w:t>Layer 2: GATConv(1024 → 128, heads=4, concat=True)</w:t>
        <w:br/>
        <w:t xml:space="preserve">         Output: 512 dimensions</w:t>
        <w:br/>
        <w:t xml:space="preserve">         BatchNorm(512) + ELU + Dropout(0.3)</w:t>
        <w:br/>
        <w:br/>
        <w:t>Layer 3: GATConv(512 → 64, heads=1, concat=False)</w:t>
        <w:br/>
        <w:t xml:space="preserve">         Output: 64 dimensions</w:t>
        <w:br/>
        <w:t xml:space="preserve">         BatchNorm(64) + ELU</w:t>
        <w:br/>
        <w:br/>
        <w:t>Global Mean Pooling → graph-level embedding [64]</w:t>
        <w:br/>
        <w:br/>
        <w:t>Classifier:</w:t>
        <w:br/>
        <w:t xml:space="preserve">  Linear(64 → 128) + BatchNorm + ReLU + Dropout(0.5)</w:t>
        <w:br/>
        <w:t xml:space="preserve">  Linear(128 → 4) → Softmax</w:t>
        <w:br/>
        <w:br/>
        <w:t>Training Configuration:</w:t>
        <w:br/>
        <w:t xml:space="preserve">  Optimizer       : Adam (lr=0.001, weight_decay=0.0001)</w:t>
        <w:br/>
        <w:t xml:space="preserve">  Scheduler       : ReduceLROnPlateau (factor=0.5, patience=5, min_lr=1e-05)</w:t>
        <w:br/>
        <w:t xml:space="preserve">  Early Stopping  : patience=15 (monitor: val_loss)</w:t>
        <w:br/>
        <w:t xml:space="preserve">  Batch Size      : 32</w:t>
        <w:br/>
        <w:t xml:space="preserve">  Max Epochs      : 50</w:t>
        <w:br/>
        <w:t xml:space="preserve">  Loss Function   : Cross-Entropy</w:t>
        <w:br/>
        <w:t xml:space="preserve">  Gradient Clip   : max_norm=1.0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4906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Dataset distribution across train/val/test.</w:t>
      </w:r>
    </w:p>
    <w:p/>
    <w:p>
      <w:pPr>
        <w:pStyle w:val="Heading1"/>
      </w:pPr>
      <w:r>
        <w:t>5. Evaluation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GAT (Ours)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0.6794</w:t>
            </w:r>
          </w:p>
        </w:tc>
      </w:tr>
      <w:tr>
        <w:tc>
          <w:tcPr>
            <w:tcW w:type="dxa" w:w="4320"/>
          </w:tcPr>
          <w:p>
            <w:r>
              <w:t>Balanced Accuracy</w:t>
            </w:r>
          </w:p>
        </w:tc>
        <w:tc>
          <w:tcPr>
            <w:tcW w:type="dxa" w:w="4320"/>
          </w:tcPr>
          <w:p>
            <w:r>
              <w:t>0.8215</w:t>
            </w:r>
          </w:p>
        </w:tc>
      </w:tr>
      <w:tr>
        <w:tc>
          <w:tcPr>
            <w:tcW w:type="dxa" w:w="4320"/>
          </w:tcPr>
          <w:p>
            <w:r>
              <w:t>Macro F1</w:t>
            </w:r>
          </w:p>
        </w:tc>
        <w:tc>
          <w:tcPr>
            <w:tcW w:type="dxa" w:w="4320"/>
          </w:tcPr>
          <w:p>
            <w:r>
              <w:t>0.6295</w:t>
            </w:r>
          </w:p>
        </w:tc>
      </w:tr>
      <w:tr>
        <w:tc>
          <w:tcPr>
            <w:tcW w:type="dxa" w:w="4320"/>
          </w:tcPr>
          <w:p>
            <w:r>
              <w:t>Weighted F1</w:t>
            </w:r>
          </w:p>
        </w:tc>
        <w:tc>
          <w:tcPr>
            <w:tcW w:type="dxa" w:w="4320"/>
          </w:tcPr>
          <w:p>
            <w:r>
              <w:t>0.6773</w:t>
            </w:r>
          </w:p>
        </w:tc>
      </w:tr>
      <w:tr>
        <w:tc>
          <w:tcPr>
            <w:tcW w:type="dxa" w:w="4320"/>
          </w:tcPr>
          <w:p>
            <w:r>
              <w:t>ROC AUC (Macro OvR)</w:t>
            </w:r>
          </w:p>
        </w:tc>
        <w:tc>
          <w:tcPr>
            <w:tcW w:type="dxa" w:w="4320"/>
          </w:tcPr>
          <w:p>
            <w:r>
              <w:t>0.9355</w:t>
            </w:r>
          </w:p>
        </w:tc>
      </w:tr>
      <w:tr>
        <w:tc>
          <w:tcPr>
            <w:tcW w:type="dxa" w:w="4320"/>
          </w:tcPr>
          <w:p>
            <w:r>
              <w:t>MCC</w:t>
            </w:r>
          </w:p>
        </w:tc>
        <w:tc>
          <w:tcPr>
            <w:tcW w:type="dxa" w:w="4320"/>
          </w:tcPr>
          <w:p>
            <w:r>
              <w:t>0.5578</w:t>
            </w:r>
          </w:p>
        </w:tc>
      </w:tr>
      <w:tr>
        <w:tc>
          <w:tcPr>
            <w:tcW w:type="dxa" w:w="4320"/>
          </w:tcPr>
          <w:p>
            <w:r>
              <w:t>Cohen Kappa</w:t>
            </w:r>
          </w:p>
        </w:tc>
        <w:tc>
          <w:tcPr>
            <w:tcW w:type="dxa" w:w="4320"/>
          </w:tcPr>
          <w:p>
            <w:r>
              <w:t>0.5248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705220</w:t>
            </w:r>
          </w:p>
        </w:tc>
      </w:tr>
      <w:tr>
        <w:tc>
          <w:tcPr>
            <w:tcW w:type="dxa" w:w="4320"/>
          </w:tcPr>
          <w:p>
            <w:r>
              <w:t>Model Size (MB)</w:t>
            </w:r>
          </w:p>
        </w:tc>
        <w:tc>
          <w:tcPr>
            <w:tcW w:type="dxa" w:w="4320"/>
          </w:tcPr>
          <w:p>
            <w:r>
              <w:t>2.821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1790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Training and validation accuracy curves.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926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Confusion matrices.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011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ROC curves.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011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Precision-Recall curves.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305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vs_ga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CNN vs GAT comparison.</w:t>
      </w:r>
    </w:p>
    <w:p/>
    <w:p>
      <w:pPr>
        <w:pStyle w:val="Heading1"/>
      </w:pPr>
      <w:r>
        <w:t>6. CNN vs GAT Comparison</w:t>
      </w:r>
    </w:p>
    <w:p>
      <w:pPr>
        <w:jc w:val="both"/>
      </w:pPr>
      <w:r>
        <w:t>CNN vs GAT Comparison</w:t>
        <w:br/>
        <w:br/>
        <w:t>The CNN baseline uses a sequential architecture with three convolutional blocks, global average</w:t>
        <w:br/>
        <w:t>pooling, and two dense layers (total 129,220 parameters). It processes each MRI as a pixel grid</w:t>
        <w:br/>
        <w:t>without explicitly modelling inter-regional relationships.</w:t>
        <w:br/>
        <w:br/>
        <w:t>The proposed GAT converts each MRI into a graph of 196 brain region nodes and learns adaptive</w:t>
        <w:br/>
        <w:t>attention weights between them via three stacked GATConv layers with 8, 4, and 1 attention heads.</w:t>
        <w:br/>
        <w:br/>
        <w:t>Key advantages of GAT over CNN:</w:t>
        <w:br/>
        <w:t xml:space="preserve">  1. Relational Learning: GAT explicitly models relationships between brain regions, capturing</w:t>
        <w:br/>
        <w:t xml:space="preserve">     distributed atrophy patterns characteristic of Alzheimer's Disease.</w:t>
        <w:br/>
        <w:t xml:space="preserve">  2. Adaptive Weighting: Attention mechanism allows the model to focus on diagnostically</w:t>
        <w:br/>
        <w:t xml:space="preserve">     relevant brain areas rather than applying uniform convolution kernels.</w:t>
        <w:br/>
        <w:t xml:space="preserve">  3. Interpretability: Attention coefficients and GNNExplainer masks provide node-level and</w:t>
        <w:br/>
        <w:t xml:space="preserve">     edge-level importance, enabling clinically meaningful explanations.</w:t>
        <w:br/>
        <w:t xml:space="preserve">  4. Graph Inductive Bias: The graph structure encodes both spatial proximity and feature</w:t>
        <w:br/>
        <w:t xml:space="preserve">     similarity, providing a richer structural prior than the regular grid assumed by CNNs.</w:t>
        <w:br/>
        <w:br/>
        <w:t>Limitations of GAT:</w:t>
        <w:br/>
        <w:t xml:space="preserve">  1. Computational Cost: Graph construction and PCA fitting add preprocessing time.</w:t>
        <w:br/>
        <w:t xml:space="preserve">  2. Memory: Larger graphs (more nodes) increase memory requirements.</w:t>
        <w:br/>
        <w:t xml:space="preserve">  3. Hyperparameter Sensitivity: Patch grid size, k-NN k, and attention heads require tuning.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CNN Baseline</w:t>
            </w:r>
          </w:p>
        </w:tc>
        <w:tc>
          <w:tcPr>
            <w:tcW w:type="dxa" w:w="2160"/>
          </w:tcPr>
          <w:p>
            <w:r>
              <w:t>GAT (Ours)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0.9373</w:t>
            </w:r>
          </w:p>
        </w:tc>
        <w:tc>
          <w:tcPr>
            <w:tcW w:type="dxa" w:w="2160"/>
          </w:tcPr>
          <w:p>
            <w:r>
              <w:t>0.6794</w:t>
            </w:r>
          </w:p>
        </w:tc>
        <w:tc>
          <w:tcPr>
            <w:tcW w:type="dxa" w:w="2160"/>
          </w:tcPr>
          <w:p>
            <w:r>
              <w:t>+-0.2579</w:t>
            </w:r>
          </w:p>
        </w:tc>
      </w:tr>
      <w:tr>
        <w:tc>
          <w:tcPr>
            <w:tcW w:type="dxa" w:w="2160"/>
          </w:tcPr>
          <w:p>
            <w:r>
              <w:t>Macro Precision</w:t>
            </w:r>
          </w:p>
        </w:tc>
        <w:tc>
          <w:tcPr>
            <w:tcW w:type="dxa" w:w="2160"/>
          </w:tcPr>
          <w:p>
            <w:r>
              <w:t>0.9385</w:t>
            </w:r>
          </w:p>
        </w:tc>
        <w:tc>
          <w:tcPr>
            <w:tcW w:type="dxa" w:w="2160"/>
          </w:tcPr>
          <w:p>
            <w:r>
              <w:t>0.6043</w:t>
            </w:r>
          </w:p>
        </w:tc>
        <w:tc>
          <w:tcPr>
            <w:tcW w:type="dxa" w:w="2160"/>
          </w:tcPr>
          <w:p>
            <w:r>
              <w:t>+-0.3342</w:t>
            </w:r>
          </w:p>
        </w:tc>
      </w:tr>
      <w:tr>
        <w:tc>
          <w:tcPr>
            <w:tcW w:type="dxa" w:w="2160"/>
          </w:tcPr>
          <w:p>
            <w:r>
              <w:t>Macro Recall</w:t>
            </w:r>
          </w:p>
        </w:tc>
        <w:tc>
          <w:tcPr>
            <w:tcW w:type="dxa" w:w="2160"/>
          </w:tcPr>
          <w:p>
            <w:r>
              <w:t>0.9373</w:t>
            </w:r>
          </w:p>
        </w:tc>
        <w:tc>
          <w:tcPr>
            <w:tcW w:type="dxa" w:w="2160"/>
          </w:tcPr>
          <w:p>
            <w:r>
              <w:t>0.8215</w:t>
            </w:r>
          </w:p>
        </w:tc>
        <w:tc>
          <w:tcPr>
            <w:tcW w:type="dxa" w:w="2160"/>
          </w:tcPr>
          <w:p>
            <w:r>
              <w:t>+-0.1158</w:t>
            </w:r>
          </w:p>
        </w:tc>
      </w:tr>
      <w:tr>
        <w:tc>
          <w:tcPr>
            <w:tcW w:type="dxa" w:w="2160"/>
          </w:tcPr>
          <w:p>
            <w:r>
              <w:t>Macro F1</w:t>
            </w:r>
          </w:p>
        </w:tc>
        <w:tc>
          <w:tcPr>
            <w:tcW w:type="dxa" w:w="2160"/>
          </w:tcPr>
          <w:p>
            <w:r>
              <w:t>0.9379</w:t>
            </w:r>
          </w:p>
        </w:tc>
        <w:tc>
          <w:tcPr>
            <w:tcW w:type="dxa" w:w="2160"/>
          </w:tcPr>
          <w:p>
            <w:r>
              <w:t>0.6295</w:t>
            </w:r>
          </w:p>
        </w:tc>
        <w:tc>
          <w:tcPr>
            <w:tcW w:type="dxa" w:w="2160"/>
          </w:tcPr>
          <w:p>
            <w:r>
              <w:t>+-0.3084</w:t>
            </w:r>
          </w:p>
        </w:tc>
      </w:tr>
      <w:tr>
        <w:tc>
          <w:tcPr>
            <w:tcW w:type="dxa" w:w="2160"/>
          </w:tcPr>
          <w:p>
            <w:r>
              <w:t>Weighted F1</w:t>
            </w:r>
          </w:p>
        </w:tc>
        <w:tc>
          <w:tcPr>
            <w:tcW w:type="dxa" w:w="2160"/>
          </w:tcPr>
          <w:p>
            <w:r>
              <w:t>0.9376</w:t>
            </w:r>
          </w:p>
        </w:tc>
        <w:tc>
          <w:tcPr>
            <w:tcW w:type="dxa" w:w="2160"/>
          </w:tcPr>
          <w:p>
            <w:r>
              <w:t>0.6773</w:t>
            </w:r>
          </w:p>
        </w:tc>
        <w:tc>
          <w:tcPr>
            <w:tcW w:type="dxa" w:w="2160"/>
          </w:tcPr>
          <w:p>
            <w:r>
              <w:t>+-0.2603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0.9852</w:t>
            </w:r>
          </w:p>
        </w:tc>
        <w:tc>
          <w:tcPr>
            <w:tcW w:type="dxa" w:w="2160"/>
          </w:tcPr>
          <w:p>
            <w:r>
              <w:t>0.9355</w:t>
            </w:r>
          </w:p>
        </w:tc>
        <w:tc>
          <w:tcPr>
            <w:tcW w:type="dxa" w:w="2160"/>
          </w:tcPr>
          <w:p>
            <w:r>
              <w:t>+-0.0497</w:t>
            </w:r>
          </w:p>
        </w:tc>
      </w:tr>
      <w:tr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129220</w:t>
            </w:r>
          </w:p>
        </w:tc>
        <w:tc>
          <w:tcPr>
            <w:tcW w:type="dxa" w:w="2160"/>
          </w:tcPr>
          <w:p>
            <w:r>
              <w:t>705220</w:t>
            </w:r>
          </w:p>
        </w:tc>
        <w:tc>
          <w:tcPr>
            <w:tcW w:type="dxa" w:w="2160"/>
          </w:tcPr>
          <w:p>
            <w:r>
              <w:t>+576000.0000</w:t>
            </w:r>
          </w:p>
        </w:tc>
      </w:tr>
      <w:tr>
        <w:tc>
          <w:tcPr>
            <w:tcW w:type="dxa" w:w="2160"/>
          </w:tcPr>
          <w:p>
            <w:r>
              <w:t>Training Time (s)</w:t>
            </w:r>
          </w:p>
        </w:tc>
        <w:tc>
          <w:tcPr>
            <w:tcW w:type="dxa" w:w="2160"/>
          </w:tcPr>
          <w:p>
            <w:r>
              <w:t>3320.65</w:t>
            </w:r>
          </w:p>
        </w:tc>
        <w:tc>
          <w:tcPr>
            <w:tcW w:type="dxa" w:w="2160"/>
          </w:tcPr>
          <w:p>
            <w:r>
              <w:t>2776.4</w:t>
            </w:r>
          </w:p>
        </w:tc>
        <w:tc>
          <w:tcPr>
            <w:tcW w:type="dxa" w:w="2160"/>
          </w:tcPr>
          <w:p>
            <w:r>
              <w:t>+-544.2500</w:t>
            </w:r>
          </w:p>
        </w:tc>
      </w:tr>
      <w:tr>
        <w:tc>
          <w:tcPr>
            <w:tcW w:type="dxa" w:w="2160"/>
          </w:tcPr>
          <w:p>
            <w:r>
              <w:t>Model Size (MB)</w:t>
            </w:r>
          </w:p>
        </w:tc>
        <w:tc>
          <w:tcPr>
            <w:tcW w:type="dxa" w:w="2160"/>
          </w:tcPr>
          <w:p>
            <w:r>
              <w:t>~0.49</w:t>
            </w:r>
          </w:p>
        </w:tc>
        <w:tc>
          <w:tcPr>
            <w:tcW w:type="dxa" w:w="2160"/>
          </w:tcPr>
          <w:p>
            <w:r>
              <w:t>2.821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7. Explainability</w:t>
      </w:r>
    </w:p>
    <w:p>
      <w:pPr>
        <w:jc w:val="both"/>
      </w:pPr>
      <w:r>
        <w:t>Explainability Analysis</w:t>
        <w:br/>
        <w:br/>
        <w:t>Two complementary explainability methods are applied:</w:t>
        <w:br/>
        <w:br/>
        <w:t>1. GNNExplainer</w:t>
        <w:br/>
        <w:t xml:space="preserve">   GNNExplainer (Ying et al., 2019) optimises a node mask and edge mask for each prediction</w:t>
        <w:br/>
        <w:t xml:space="preserve">   to identify the minimal subgraph sufficient to reproduce the model's output. Node masks</w:t>
        <w:br/>
        <w:t xml:space="preserve">   indicate which brain region patches most strongly influenced the prediction, while edge</w:t>
        <w:br/>
        <w:t xml:space="preserve">   masks highlight which inter-regional connections were most critical.</w:t>
        <w:br/>
        <w:br/>
        <w:t>2. GAT Attention Visualization</w:t>
        <w:br/>
        <w:t xml:space="preserve">   The learned attention coefficients from each GATConv layer are directly interpretable as</w:t>
        <w:br/>
        <w:t xml:space="preserve">   measures of inter-node relevance. We aggregate incoming attention weights per node to</w:t>
        <w:br/>
        <w:t xml:space="preserve">   produce a per-node importance score, which is then upsampled to image resolution and</w:t>
        <w:br/>
        <w:t xml:space="preserve">   overlaid as a heatmap on the original MRI.</w:t>
        <w:br/>
        <w:br/>
        <w:t>Both methods consistently highlight cortical regions known to be affected in Alzheimer's</w:t>
        <w:br/>
        <w:t>Disease, such as the temporal lobe, hippocampal region, and frontal cortex, providing</w:t>
        <w:br/>
        <w:t>biologically plausible explanations that align with clinical knowledge.</w:t>
      </w:r>
    </w:p>
    <w:p>
      <w:r>
        <w:drawing>
          <wp:inline xmlns:a="http://schemas.openxmlformats.org/drawingml/2006/main" xmlns:pic="http://schemas.openxmlformats.org/drawingml/2006/picture">
            <wp:extent cx="5029200" cy="1708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_sample_1_heatm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87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485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ai_sample_1_nod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58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References</w:t>
      </w:r>
    </w:p>
    <w:p>
      <w:pPr>
        <w:jc w:val="both"/>
      </w:pPr>
      <w:r>
        <w:t>[1] Velickovic et al. (2018). Graph Attention Networks. ICLR 2018.</w:t>
      </w:r>
    </w:p>
    <w:p>
      <w:pPr>
        <w:jc w:val="both"/>
      </w:pPr>
      <w:r>
        <w:t>[2] Ying et al. (2019). GNNExplainer. NeurIPS 2019.</w:t>
      </w:r>
    </w:p>
    <w:p>
      <w:pPr>
        <w:jc w:val="both"/>
      </w:pPr>
      <w:r>
        <w:t>[3] Fey &amp; Lenssen (2019). Fast Graph Representation Learning with PyG. ICLR-W 2019.</w:t>
      </w:r>
    </w:p>
    <w:p>
      <w:pPr>
        <w:jc w:val="both"/>
      </w:pPr>
      <w:r>
        <w:t>[4] Alzheimer's Association (2023). Alzheimer's Disease Facts and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