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50"/>
        </w:rPr>
        <w:t>DOCUMIND AI</w:t>
      </w:r>
    </w:p>
    <w:p>
      <w:pPr>
        <w:jc w:val="center"/>
      </w:pPr>
      <w:r>
        <w:rPr>
          <w:b/>
          <w:sz w:val="28"/>
        </w:rPr>
        <w:t>Technical Documentation — Runtime Flow, Code Map &amp; Verification</w:t>
      </w:r>
    </w:p>
    <w:p>
      <w:pPr>
        <w:jc w:val="center"/>
      </w:pPr>
      <w:r>
        <w:rPr>
          <w:i/>
          <w:sz w:val="18"/>
        </w:rPr>
        <w:t>Source reviewed: documind_groq.py (single-file application)</w:t>
      </w:r>
    </w:p>
    <w:p>
      <w:r>
        <w:t>Purpose of this document: describe the execution order, the role of each software component, where the work is implemented in the source file, and what was actually checked. Line references refer to the reviewed documind_groq.py version; line numbers can shift if the file is edited.</w:t>
      </w:r>
    </w:p>
    <w:p>
      <w:pPr>
        <w:pStyle w:val="Heading1"/>
      </w:pPr>
      <w:r>
        <w:t>1. End-to-end software flow</w:t>
      </w:r>
    </w:p>
    <w:p>
      <w:r>
        <w:t>The application is implemented primarily in one Python file. Streamlit is the default user interface. FastAPI is an optional REST interface; both call the same ingestion, SQLite, retrieval, and question-answering functions.</w:t>
      </w:r>
    </w:p>
    <w:p>
      <w:pPr>
        <w:jc w:val="center"/>
      </w:pPr>
      <w:r>
        <w:drawing>
          <wp:inline xmlns:a="http://schemas.openxmlformats.org/drawingml/2006/main" xmlns:pic="http://schemas.openxmlformats.org/drawingml/2006/picture">
            <wp:extent cx="5943600" cy="4944209"/>
            <wp:docPr id="1" name="Picture 1"/>
            <wp:cNvGraphicFramePr>
              <a:graphicFrameLocks noChangeAspect="1"/>
            </wp:cNvGraphicFramePr>
            <a:graphic>
              <a:graphicData uri="http://schemas.openxmlformats.org/drawingml/2006/picture">
                <pic:pic>
                  <pic:nvPicPr>
                    <pic:cNvPr id="0" name="DocuMind_AI_Technical_Flow.png"/>
                    <pic:cNvPicPr/>
                  </pic:nvPicPr>
                  <pic:blipFill>
                    <a:blip r:embed="rId9"/>
                    <a:stretch>
                      <a:fillRect/>
                    </a:stretch>
                  </pic:blipFill>
                  <pic:spPr>
                    <a:xfrm>
                      <a:off x="0" y="0"/>
                      <a:ext cx="5943600" cy="4944209"/>
                    </a:xfrm>
                    <a:prstGeom prst="rect"/>
                  </pic:spPr>
                </pic:pic>
              </a:graphicData>
            </a:graphic>
          </wp:inline>
        </w:drawing>
      </w:r>
    </w:p>
    <w:p>
      <w:pPr>
        <w:pStyle w:val="Heading1"/>
      </w:pPr>
      <w:r>
        <w:t>2. Runtime order: what runs first?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DCEAF7"/>
          </w:tcPr>
          <w:p>
            <w:pPr>
              <w:spacing w:after="20"/>
            </w:pPr>
            <w:r/>
            <w:r>
              <w:rPr>
                <w:b/>
                <w:sz w:val="14"/>
              </w:rPr>
              <w:t>Stage</w:t>
            </w:r>
          </w:p>
        </w:tc>
        <w:tc>
          <w:tcPr>
            <w:tcW w:type="dxa" w:w="3888"/>
            <w:vAlign w:val="center"/>
            <w:shd w:fill="DCEAF7"/>
          </w:tcPr>
          <w:p>
            <w:pPr>
              <w:spacing w:after="20"/>
            </w:pPr>
            <w:r/>
            <w:r>
              <w:rPr>
                <w:b/>
                <w:sz w:val="14"/>
              </w:rPr>
              <w:t>What happens</w:t>
            </w:r>
          </w:p>
        </w:tc>
        <w:tc>
          <w:tcPr>
            <w:tcW w:type="dxa" w:w="1656"/>
            <w:vAlign w:val="center"/>
            <w:shd w:fill="DCEAF7"/>
          </w:tcPr>
          <w:p>
            <w:pPr>
              <w:spacing w:after="20"/>
            </w:pPr>
            <w:r/>
            <w:r>
              <w:rPr>
                <w:b/>
                <w:sz w:val="14"/>
              </w:rPr>
              <w:t>Source code</w:t>
            </w:r>
          </w:p>
        </w:tc>
        <w:tc>
          <w:tcPr>
            <w:tcW w:type="dxa" w:w="2232"/>
            <w:vAlign w:val="center"/>
            <w:shd w:fill="DCEAF7"/>
          </w:tcPr>
          <w:p>
            <w:pPr>
              <w:spacing w:after="20"/>
            </w:pPr>
            <w:r/>
            <w:r>
              <w:rPr>
                <w:b/>
                <w:sz w:val="14"/>
              </w:rPr>
              <w:t>Software</w:t>
            </w:r>
          </w:p>
        </w:tc>
      </w:tr>
      <w:tr>
        <w:tc>
          <w:tcPr>
            <w:tcW w:type="dxa" w:w="2088"/>
            <w:vAlign w:val="center"/>
          </w:tcPr>
          <w:p>
            <w:pPr>
              <w:spacing w:after="20"/>
            </w:pPr>
            <w:r/>
            <w:r>
              <w:rPr>
                <w:b w:val="0"/>
                <w:sz w:val="14"/>
              </w:rPr>
              <w:t>1 — Python runtime &amp; configuration</w:t>
            </w:r>
          </w:p>
        </w:tc>
        <w:tc>
          <w:tcPr>
            <w:tcW w:type="dxa" w:w="3888"/>
            <w:vAlign w:val="center"/>
          </w:tcPr>
          <w:p>
            <w:pPr>
              <w:spacing w:after="20"/>
            </w:pPr>
            <w:r/>
            <w:r>
              <w:rPr>
                <w:b w:val="0"/>
                <w:sz w:val="14"/>
              </w:rPr>
              <w:t>Python loads imports and settings; dotenv is attempted if installed; environment variables / Streamlit secrets are checked for configuration.</w:t>
            </w:r>
          </w:p>
        </w:tc>
        <w:tc>
          <w:tcPr>
            <w:tcW w:type="dxa" w:w="1656"/>
            <w:vAlign w:val="center"/>
          </w:tcPr>
          <w:p>
            <w:pPr>
              <w:spacing w:after="20"/>
            </w:pPr>
            <w:r/>
            <w:r>
              <w:rPr>
                <w:b w:val="0"/>
                <w:sz w:val="14"/>
              </w:rPr>
              <w:t>Lines 1–166</w:t>
            </w:r>
          </w:p>
        </w:tc>
        <w:tc>
          <w:tcPr>
            <w:tcW w:type="dxa" w:w="2232"/>
            <w:vAlign w:val="center"/>
          </w:tcPr>
          <w:p>
            <w:pPr>
              <w:spacing w:after="20"/>
            </w:pPr>
            <w:r/>
            <w:r>
              <w:rPr>
                <w:b w:val="0"/>
                <w:sz w:val="14"/>
              </w:rPr>
              <w:t>Python, python-dotenv (optional)</w:t>
            </w:r>
          </w:p>
        </w:tc>
      </w:tr>
      <w:tr>
        <w:tc>
          <w:tcPr>
            <w:tcW w:type="dxa" w:w="2088"/>
            <w:vAlign w:val="center"/>
          </w:tcPr>
          <w:p>
            <w:pPr>
              <w:spacing w:after="20"/>
            </w:pPr>
            <w:r/>
            <w:r>
              <w:rPr>
                <w:b w:val="0"/>
                <w:sz w:val="14"/>
              </w:rPr>
              <w:t>2 — UI/API entry point</w:t>
            </w:r>
          </w:p>
        </w:tc>
        <w:tc>
          <w:tcPr>
            <w:tcW w:type="dxa" w:w="3888"/>
            <w:vAlign w:val="center"/>
          </w:tcPr>
          <w:p>
            <w:pPr>
              <w:spacing w:after="20"/>
            </w:pPr>
            <w:r/>
            <w:r>
              <w:rPr>
                <w:b w:val="0"/>
                <w:sz w:val="14"/>
              </w:rPr>
              <w:t>For normal use, Streamlit imports and runs run_ui(). The optional ASGI app is exposed as api for Uvicorn; API startup initializes logging and SQLite.</w:t>
            </w:r>
          </w:p>
        </w:tc>
        <w:tc>
          <w:tcPr>
            <w:tcW w:type="dxa" w:w="1656"/>
            <w:vAlign w:val="center"/>
          </w:tcPr>
          <w:p>
            <w:pPr>
              <w:spacing w:after="20"/>
            </w:pPr>
            <w:r/>
            <w:r>
              <w:rPr>
                <w:b w:val="0"/>
                <w:sz w:val="14"/>
              </w:rPr>
              <w:t>Lines 1737–1900; 1972–2125</w:t>
            </w:r>
          </w:p>
        </w:tc>
        <w:tc>
          <w:tcPr>
            <w:tcW w:type="dxa" w:w="2232"/>
            <w:vAlign w:val="center"/>
          </w:tcPr>
          <w:p>
            <w:pPr>
              <w:spacing w:after="20"/>
            </w:pPr>
            <w:r/>
            <w:r>
              <w:rPr>
                <w:b w:val="0"/>
                <w:sz w:val="14"/>
              </w:rPr>
              <w:t>Streamlit; FastAPI + Uvicorn (optional)</w:t>
            </w:r>
          </w:p>
        </w:tc>
      </w:tr>
      <w:tr>
        <w:tc>
          <w:tcPr>
            <w:tcW w:type="dxa" w:w="2088"/>
            <w:vAlign w:val="center"/>
          </w:tcPr>
          <w:p>
            <w:pPr>
              <w:spacing w:after="20"/>
            </w:pPr>
            <w:r/>
            <w:r>
              <w:rPr>
                <w:b w:val="0"/>
                <w:sz w:val="14"/>
              </w:rPr>
              <w:t>3 — File upload &amp; validation</w:t>
            </w:r>
          </w:p>
        </w:tc>
        <w:tc>
          <w:tcPr>
            <w:tcW w:type="dxa" w:w="3888"/>
            <w:vAlign w:val="center"/>
          </w:tcPr>
          <w:p>
            <w:pPr>
              <w:spacing w:after="20"/>
            </w:pPr>
            <w:r/>
            <w:r>
              <w:rPr>
                <w:b w:val="0"/>
                <w:sz w:val="14"/>
              </w:rPr>
              <w:t>Uploaded file is registered, size-limited, checked against allowed extension and detected file signature, and checked for unsafe archive expansion.</w:t>
            </w:r>
          </w:p>
        </w:tc>
        <w:tc>
          <w:tcPr>
            <w:tcW w:type="dxa" w:w="1656"/>
            <w:vAlign w:val="center"/>
          </w:tcPr>
          <w:p>
            <w:pPr>
              <w:spacing w:after="20"/>
            </w:pPr>
            <w:r/>
            <w:r>
              <w:rPr>
                <w:b w:val="0"/>
                <w:sz w:val="14"/>
              </w:rPr>
              <w:t>Lines 179–259; 1704–1731; UI upload flow around 1918–1946</w:t>
            </w:r>
          </w:p>
        </w:tc>
        <w:tc>
          <w:tcPr>
            <w:tcW w:type="dxa" w:w="2232"/>
            <w:vAlign w:val="center"/>
          </w:tcPr>
          <w:p>
            <w:pPr>
              <w:spacing w:after="20"/>
            </w:pPr>
            <w:r/>
            <w:r>
              <w:rPr>
                <w:b w:val="0"/>
                <w:sz w:val="14"/>
              </w:rPr>
              <w:t>Python pathlib, zipfile; Streamlit/FastAPI</w:t>
            </w:r>
          </w:p>
        </w:tc>
      </w:tr>
      <w:tr>
        <w:tc>
          <w:tcPr>
            <w:tcW w:type="dxa" w:w="2088"/>
            <w:vAlign w:val="center"/>
          </w:tcPr>
          <w:p>
            <w:pPr>
              <w:spacing w:after="20"/>
            </w:pPr>
            <w:r/>
            <w:r>
              <w:rPr>
                <w:b w:val="0"/>
                <w:sz w:val="14"/>
              </w:rPr>
              <w:t>4 — Extraction</w:t>
            </w:r>
          </w:p>
        </w:tc>
        <w:tc>
          <w:tcPr>
            <w:tcW w:type="dxa" w:w="3888"/>
            <w:vAlign w:val="center"/>
          </w:tcPr>
          <w:p>
            <w:pPr>
              <w:spacing w:after="20"/>
            </w:pPr>
            <w:r/>
            <w:r>
              <w:rPr>
                <w:b w:val="0"/>
                <w:sz w:val="14"/>
              </w:rPr>
              <w:t>A processor is selected by extension. Parsers extract text/table-like content and attach source metadata. OCR and legacy Office conversion are optional.</w:t>
            </w:r>
          </w:p>
        </w:tc>
        <w:tc>
          <w:tcPr>
            <w:tcW w:type="dxa" w:w="1656"/>
            <w:vAlign w:val="center"/>
          </w:tcPr>
          <w:p>
            <w:pPr>
              <w:spacing w:after="20"/>
            </w:pPr>
            <w:r/>
            <w:r>
              <w:rPr>
                <w:b w:val="0"/>
                <w:sz w:val="14"/>
              </w:rPr>
              <w:t>Lines 291–363; format handlers around 371–842</w:t>
            </w:r>
          </w:p>
        </w:tc>
        <w:tc>
          <w:tcPr>
            <w:tcW w:type="dxa" w:w="2232"/>
            <w:vAlign w:val="center"/>
          </w:tcPr>
          <w:p>
            <w:pPr>
              <w:spacing w:after="20"/>
            </w:pPr>
            <w:r/>
            <w:r>
              <w:rPr>
                <w:b w:val="0"/>
                <w:sz w:val="14"/>
              </w:rPr>
              <w:t>PyMuPDF, python-docx, pandas/openpyxl, python-pptx, Pillow; optional Tesseract / LibreOffice</w:t>
            </w:r>
          </w:p>
        </w:tc>
      </w:tr>
      <w:tr>
        <w:tc>
          <w:tcPr>
            <w:tcW w:type="dxa" w:w="2088"/>
            <w:vAlign w:val="center"/>
          </w:tcPr>
          <w:p>
            <w:pPr>
              <w:spacing w:after="20"/>
            </w:pPr>
            <w:r/>
            <w:r>
              <w:rPr>
                <w:b w:val="0"/>
                <w:sz w:val="14"/>
              </w:rPr>
              <w:t>5 — Clean, chunk &amp; store</w:t>
            </w:r>
          </w:p>
        </w:tc>
        <w:tc>
          <w:tcPr>
            <w:tcW w:type="dxa" w:w="3888"/>
            <w:vAlign w:val="center"/>
          </w:tcPr>
          <w:p>
            <w:pPr>
              <w:spacing w:after="20"/>
            </w:pPr>
            <w:r/>
            <w:r>
              <w:rPr>
                <w:b w:val="0"/>
                <w:sz w:val="14"/>
              </w:rPr>
              <w:t>Text is normalized, divided into chunks with overlap, and saved with metadata in SQLite. Document status is updated as processing proceeds.</w:t>
            </w:r>
          </w:p>
        </w:tc>
        <w:tc>
          <w:tcPr>
            <w:tcW w:type="dxa" w:w="1656"/>
            <w:vAlign w:val="center"/>
          </w:tcPr>
          <w:p>
            <w:pPr>
              <w:spacing w:after="20"/>
            </w:pPr>
            <w:r/>
            <w:r>
              <w:rPr>
                <w:b w:val="0"/>
                <w:sz w:val="14"/>
              </w:rPr>
              <w:t>Lines 845–935; 969–1141; 1462–1497</w:t>
            </w:r>
          </w:p>
        </w:tc>
        <w:tc>
          <w:tcPr>
            <w:tcW w:type="dxa" w:w="2232"/>
            <w:vAlign w:val="center"/>
          </w:tcPr>
          <w:p>
            <w:pPr>
              <w:spacing w:after="20"/>
            </w:pPr>
            <w:r/>
            <w:r>
              <w:rPr>
                <w:b w:val="0"/>
                <w:sz w:val="14"/>
              </w:rPr>
              <w:t>Python; SQLite</w:t>
            </w:r>
          </w:p>
        </w:tc>
      </w:tr>
      <w:tr>
        <w:tc>
          <w:tcPr>
            <w:tcW w:type="dxa" w:w="2088"/>
            <w:vAlign w:val="center"/>
          </w:tcPr>
          <w:p>
            <w:pPr>
              <w:spacing w:after="20"/>
            </w:pPr>
            <w:r/>
            <w:r>
              <w:rPr>
                <w:b w:val="0"/>
                <w:sz w:val="14"/>
              </w:rPr>
              <w:t>6 — Retrieval</w:t>
            </w:r>
          </w:p>
        </w:tc>
        <w:tc>
          <w:tcPr>
            <w:tcW w:type="dxa" w:w="3888"/>
            <w:vAlign w:val="center"/>
          </w:tcPr>
          <w:p>
            <w:pPr>
              <w:spacing w:after="20"/>
            </w:pPr>
            <w:r/>
            <w:r>
              <w:rPr>
                <w:b w:val="0"/>
                <w:sz w:val="14"/>
              </w:rPr>
              <w:t>Question text is matched against indexed chunks. TF-IDF is the default; sentence-transformers can be selected as an optional alternative.</w:t>
            </w:r>
          </w:p>
        </w:tc>
        <w:tc>
          <w:tcPr>
            <w:tcW w:type="dxa" w:w="1656"/>
            <w:vAlign w:val="center"/>
          </w:tcPr>
          <w:p>
            <w:pPr>
              <w:spacing w:after="20"/>
            </w:pPr>
            <w:r/>
            <w:r>
              <w:rPr>
                <w:b w:val="0"/>
                <w:sz w:val="14"/>
              </w:rPr>
              <w:t>Lines 1150–1240</w:t>
            </w:r>
          </w:p>
        </w:tc>
        <w:tc>
          <w:tcPr>
            <w:tcW w:type="dxa" w:w="2232"/>
            <w:vAlign w:val="center"/>
          </w:tcPr>
          <w:p>
            <w:pPr>
              <w:spacing w:after="20"/>
            </w:pPr>
            <w:r/>
            <w:r>
              <w:rPr>
                <w:b w:val="0"/>
                <w:sz w:val="14"/>
              </w:rPr>
              <w:t>scikit-learn; optional sentence-transformers</w:t>
            </w:r>
          </w:p>
        </w:tc>
      </w:tr>
      <w:tr>
        <w:tc>
          <w:tcPr>
            <w:tcW w:type="dxa" w:w="2088"/>
            <w:vAlign w:val="center"/>
          </w:tcPr>
          <w:p>
            <w:pPr>
              <w:spacing w:after="20"/>
            </w:pPr>
            <w:r/>
            <w:r>
              <w:rPr>
                <w:b w:val="0"/>
                <w:sz w:val="14"/>
              </w:rPr>
              <w:t>7 — Answer preparation</w:t>
            </w:r>
          </w:p>
        </w:tc>
        <w:tc>
          <w:tcPr>
            <w:tcW w:type="dxa" w:w="3888"/>
            <w:vAlign w:val="center"/>
          </w:tcPr>
          <w:p>
            <w:pPr>
              <w:spacing w:after="20"/>
            </w:pPr>
            <w:r/>
            <w:r>
              <w:rPr>
                <w:b w:val="0"/>
                <w:sz w:val="14"/>
              </w:rPr>
              <w:t>Relevant passages and recent conversation history are assembled. Tabular questions can trigger a calculation plan before the final prompt is sent.</w:t>
            </w:r>
          </w:p>
        </w:tc>
        <w:tc>
          <w:tcPr>
            <w:tcW w:type="dxa" w:w="1656"/>
            <w:vAlign w:val="center"/>
          </w:tcPr>
          <w:p>
            <w:pPr>
              <w:spacing w:after="20"/>
            </w:pPr>
            <w:r/>
            <w:r>
              <w:rPr>
                <w:b w:val="0"/>
                <w:sz w:val="14"/>
              </w:rPr>
              <w:t>Lines 1327–1451; 1532–1641</w:t>
            </w:r>
          </w:p>
        </w:tc>
        <w:tc>
          <w:tcPr>
            <w:tcW w:type="dxa" w:w="2232"/>
            <w:vAlign w:val="center"/>
          </w:tcPr>
          <w:p>
            <w:pPr>
              <w:spacing w:after="20"/>
            </w:pPr>
            <w:r/>
            <w:r>
              <w:rPr>
                <w:b w:val="0"/>
                <w:sz w:val="14"/>
              </w:rPr>
              <w:t>Pandas, NumPy, Python logic</w:t>
            </w:r>
          </w:p>
        </w:tc>
      </w:tr>
      <w:tr>
        <w:tc>
          <w:tcPr>
            <w:tcW w:type="dxa" w:w="2088"/>
            <w:vAlign w:val="center"/>
          </w:tcPr>
          <w:p>
            <w:pPr>
              <w:spacing w:after="20"/>
            </w:pPr>
            <w:r/>
            <w:r>
              <w:rPr>
                <w:b w:val="0"/>
                <w:sz w:val="14"/>
              </w:rPr>
              <w:t>8 — LLM call &amp; answer display</w:t>
            </w:r>
          </w:p>
        </w:tc>
        <w:tc>
          <w:tcPr>
            <w:tcW w:type="dxa" w:w="3888"/>
            <w:vAlign w:val="center"/>
          </w:tcPr>
          <w:p>
            <w:pPr>
              <w:spacing w:after="20"/>
            </w:pPr>
            <w:r/>
            <w:r>
              <w:rPr>
                <w:b w:val="0"/>
                <w:sz w:val="14"/>
              </w:rPr>
              <w:t>The OpenAI-compatible SDK sends messages to the configured Groq endpoint; the returned answer and source metadata are stored and rendered in the chat UI.</w:t>
            </w:r>
          </w:p>
        </w:tc>
        <w:tc>
          <w:tcPr>
            <w:tcW w:type="dxa" w:w="1656"/>
            <w:vAlign w:val="center"/>
          </w:tcPr>
          <w:p>
            <w:pPr>
              <w:spacing w:after="20"/>
            </w:pPr>
            <w:r/>
            <w:r>
              <w:rPr>
                <w:b w:val="0"/>
                <w:sz w:val="14"/>
              </w:rPr>
              <w:t>Lines 1251–1324; 1590–1641; 1949–1969; 1972–2125</w:t>
            </w:r>
          </w:p>
        </w:tc>
        <w:tc>
          <w:tcPr>
            <w:tcW w:type="dxa" w:w="2232"/>
            <w:vAlign w:val="center"/>
          </w:tcPr>
          <w:p>
            <w:pPr>
              <w:spacing w:after="20"/>
            </w:pPr>
            <w:r/>
            <w:r>
              <w:rPr>
                <w:b w:val="0"/>
                <w:sz w:val="14"/>
              </w:rPr>
              <w:t>openai Python SDK; Groq API; Streamlit</w:t>
            </w:r>
          </w:p>
        </w:tc>
      </w:tr>
    </w:tbl>
    <w:p>
      <w:pPr>
        <w:spacing w:after="20"/>
      </w:pPr>
    </w:p>
    <w:p>
      <w:pPr>
        <w:pStyle w:val="Heading1"/>
      </w:pPr>
      <w:r>
        <w:t>3. Code map: where each responsibility lives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DCEAF7"/>
          </w:tcPr>
          <w:p>
            <w:pPr>
              <w:spacing w:after="20"/>
            </w:pPr>
            <w:r/>
            <w:r>
              <w:rPr>
                <w:b/>
                <w:sz w:val="15"/>
              </w:rPr>
              <w:t>Component</w:t>
            </w:r>
          </w:p>
        </w:tc>
        <w:tc>
          <w:tcPr>
            <w:tcW w:type="dxa" w:w="6480"/>
            <w:vAlign w:val="center"/>
            <w:shd w:fill="DCEAF7"/>
          </w:tcPr>
          <w:p>
            <w:pPr>
              <w:spacing w:after="20"/>
            </w:pPr>
            <w:r/>
            <w:r>
              <w:rPr>
                <w:b/>
                <w:sz w:val="15"/>
              </w:rPr>
              <w:t>Implementation detail</w:t>
            </w:r>
          </w:p>
        </w:tc>
        <w:tc>
          <w:tcPr>
            <w:tcW w:type="dxa" w:w="1152"/>
            <w:vAlign w:val="center"/>
            <w:shd w:fill="DCEAF7"/>
          </w:tcPr>
          <w:p>
            <w:pPr>
              <w:spacing w:after="20"/>
            </w:pPr>
            <w:r/>
            <w:r>
              <w:rPr>
                <w:b/>
                <w:sz w:val="15"/>
              </w:rPr>
              <w:t>Approx. lines</w:t>
            </w:r>
          </w:p>
        </w:tc>
      </w:tr>
      <w:tr>
        <w:tc>
          <w:tcPr>
            <w:tcW w:type="dxa" w:w="2232"/>
            <w:vAlign w:val="center"/>
          </w:tcPr>
          <w:p>
            <w:pPr>
              <w:spacing w:after="20"/>
            </w:pPr>
            <w:r/>
            <w:r>
              <w:rPr>
                <w:b w:val="0"/>
                <w:sz w:val="15"/>
              </w:rPr>
              <w:t>Configuration / model settings</w:t>
            </w:r>
          </w:p>
        </w:tc>
        <w:tc>
          <w:tcPr>
            <w:tcW w:type="dxa" w:w="6480"/>
            <w:vAlign w:val="center"/>
          </w:tcPr>
          <w:p>
            <w:pPr>
              <w:spacing w:after="20"/>
            </w:pPr>
            <w:r/>
            <w:r>
              <w:rPr>
                <w:b w:val="0"/>
                <w:sz w:val="15"/>
              </w:rPr>
              <w:t>Settings class, environment/secrets lookup, model names, upload/chunk/context limits.</w:t>
            </w:r>
          </w:p>
        </w:tc>
        <w:tc>
          <w:tcPr>
            <w:tcW w:type="dxa" w:w="1152"/>
            <w:vAlign w:val="center"/>
          </w:tcPr>
          <w:p>
            <w:pPr>
              <w:spacing w:after="20"/>
            </w:pPr>
            <w:r/>
            <w:r>
              <w:rPr>
                <w:b w:val="0"/>
                <w:sz w:val="15"/>
              </w:rPr>
              <w:t>71–166</w:t>
            </w:r>
          </w:p>
        </w:tc>
      </w:tr>
      <w:tr>
        <w:tc>
          <w:tcPr>
            <w:tcW w:type="dxa" w:w="2232"/>
            <w:vAlign w:val="center"/>
          </w:tcPr>
          <w:p>
            <w:pPr>
              <w:spacing w:after="20"/>
            </w:pPr>
            <w:r/>
            <w:r>
              <w:rPr>
                <w:b w:val="0"/>
                <w:sz w:val="15"/>
              </w:rPr>
              <w:t>File safety checks</w:t>
            </w:r>
          </w:p>
        </w:tc>
        <w:tc>
          <w:tcPr>
            <w:tcW w:type="dxa" w:w="6480"/>
            <w:vAlign w:val="center"/>
          </w:tcPr>
          <w:p>
            <w:pPr>
              <w:spacing w:after="20"/>
            </w:pPr>
            <w:r/>
            <w:r>
              <w:rPr>
                <w:b w:val="0"/>
                <w:sz w:val="15"/>
              </w:rPr>
              <w:t>Supported extensions, signature detection, blocked MIME types, upload-size and archive-expansion checks.</w:t>
            </w:r>
          </w:p>
        </w:tc>
        <w:tc>
          <w:tcPr>
            <w:tcW w:type="dxa" w:w="1152"/>
            <w:vAlign w:val="center"/>
          </w:tcPr>
          <w:p>
            <w:pPr>
              <w:spacing w:after="20"/>
            </w:pPr>
            <w:r/>
            <w:r>
              <w:rPr>
                <w:b w:val="0"/>
                <w:sz w:val="15"/>
              </w:rPr>
              <w:t>179–259</w:t>
            </w:r>
          </w:p>
        </w:tc>
      </w:tr>
      <w:tr>
        <w:tc>
          <w:tcPr>
            <w:tcW w:type="dxa" w:w="2232"/>
            <w:vAlign w:val="center"/>
          </w:tcPr>
          <w:p>
            <w:pPr>
              <w:spacing w:after="20"/>
            </w:pPr>
            <w:r/>
            <w:r>
              <w:rPr>
                <w:b w:val="0"/>
                <w:sz w:val="15"/>
              </w:rPr>
              <w:t>Processor registry</w:t>
            </w:r>
          </w:p>
        </w:tc>
        <w:tc>
          <w:tcPr>
            <w:tcW w:type="dxa" w:w="6480"/>
            <w:vAlign w:val="center"/>
          </w:tcPr>
          <w:p>
            <w:pPr>
              <w:spacing w:after="20"/>
            </w:pPr>
            <w:r/>
            <w:r>
              <w:rPr>
                <w:b w:val="0"/>
                <w:sz w:val="15"/>
              </w:rPr>
              <w:t>Maps file extensions to the appropriate extractor function.</w:t>
            </w:r>
          </w:p>
        </w:tc>
        <w:tc>
          <w:tcPr>
            <w:tcW w:type="dxa" w:w="1152"/>
            <w:vAlign w:val="center"/>
          </w:tcPr>
          <w:p>
            <w:pPr>
              <w:spacing w:after="20"/>
            </w:pPr>
            <w:r/>
            <w:r>
              <w:rPr>
                <w:b w:val="0"/>
                <w:sz w:val="15"/>
              </w:rPr>
              <w:t>291–309</w:t>
            </w:r>
          </w:p>
        </w:tc>
      </w:tr>
      <w:tr>
        <w:tc>
          <w:tcPr>
            <w:tcW w:type="dxa" w:w="2232"/>
            <w:vAlign w:val="center"/>
          </w:tcPr>
          <w:p>
            <w:pPr>
              <w:spacing w:after="20"/>
            </w:pPr>
            <w:r/>
            <w:r>
              <w:rPr>
                <w:b w:val="0"/>
                <w:sz w:val="15"/>
              </w:rPr>
              <w:t>Document parsers</w:t>
            </w:r>
          </w:p>
        </w:tc>
        <w:tc>
          <w:tcPr>
            <w:tcW w:type="dxa" w:w="6480"/>
            <w:vAlign w:val="center"/>
          </w:tcPr>
          <w:p>
            <w:pPr>
              <w:spacing w:after="20"/>
            </w:pPr>
            <w:r/>
            <w:r>
              <w:rPr>
                <w:b w:val="0"/>
                <w:sz w:val="15"/>
              </w:rPr>
              <w:t>PDF, DOCX/DOC, plain text/Markdown/RTF/ODF, CSV/Excel, PowerPoint, JSON/YAML/XML/HTML and images.</w:t>
            </w:r>
          </w:p>
        </w:tc>
        <w:tc>
          <w:tcPr>
            <w:tcW w:type="dxa" w:w="1152"/>
            <w:vAlign w:val="center"/>
          </w:tcPr>
          <w:p>
            <w:pPr>
              <w:spacing w:after="20"/>
            </w:pPr>
            <w:r/>
            <w:r>
              <w:rPr>
                <w:b w:val="0"/>
                <w:sz w:val="15"/>
              </w:rPr>
              <w:t>316–842</w:t>
            </w:r>
          </w:p>
        </w:tc>
      </w:tr>
      <w:tr>
        <w:tc>
          <w:tcPr>
            <w:tcW w:type="dxa" w:w="2232"/>
            <w:vAlign w:val="center"/>
          </w:tcPr>
          <w:p>
            <w:pPr>
              <w:spacing w:after="20"/>
            </w:pPr>
            <w:r/>
            <w:r>
              <w:rPr>
                <w:b w:val="0"/>
                <w:sz w:val="15"/>
              </w:rPr>
              <w:t>Text cleanup / chunking</w:t>
            </w:r>
          </w:p>
        </w:tc>
        <w:tc>
          <w:tcPr>
            <w:tcW w:type="dxa" w:w="6480"/>
            <w:vAlign w:val="center"/>
          </w:tcPr>
          <w:p>
            <w:pPr>
              <w:spacing w:after="20"/>
            </w:pPr>
            <w:r/>
            <w:r>
              <w:rPr>
                <w:b w:val="0"/>
                <w:sz w:val="15"/>
              </w:rPr>
              <w:t>Normalize text, remove repeated lines, split text while retaining source metadata.</w:t>
            </w:r>
          </w:p>
        </w:tc>
        <w:tc>
          <w:tcPr>
            <w:tcW w:type="dxa" w:w="1152"/>
            <w:vAlign w:val="center"/>
          </w:tcPr>
          <w:p>
            <w:pPr>
              <w:spacing w:after="20"/>
            </w:pPr>
            <w:r/>
            <w:r>
              <w:rPr>
                <w:b w:val="0"/>
                <w:sz w:val="15"/>
              </w:rPr>
              <w:t>845–935</w:t>
            </w:r>
          </w:p>
        </w:tc>
      </w:tr>
      <w:tr>
        <w:tc>
          <w:tcPr>
            <w:tcW w:type="dxa" w:w="2232"/>
            <w:vAlign w:val="center"/>
          </w:tcPr>
          <w:p>
            <w:pPr>
              <w:spacing w:after="20"/>
            </w:pPr>
            <w:r/>
            <w:r>
              <w:rPr>
                <w:b w:val="0"/>
                <w:sz w:val="15"/>
              </w:rPr>
              <w:t>SQLite schema and CRUD</w:t>
            </w:r>
          </w:p>
        </w:tc>
        <w:tc>
          <w:tcPr>
            <w:tcW w:type="dxa" w:w="6480"/>
            <w:vAlign w:val="center"/>
          </w:tcPr>
          <w:p>
            <w:pPr>
              <w:spacing w:after="20"/>
            </w:pPr>
            <w:r/>
            <w:r>
              <w:rPr>
                <w:b w:val="0"/>
                <w:sz w:val="15"/>
              </w:rPr>
              <w:t>Tables for documents, chunks, conversations and messages; create/read/update/delete operations.</w:t>
            </w:r>
          </w:p>
        </w:tc>
        <w:tc>
          <w:tcPr>
            <w:tcW w:type="dxa" w:w="1152"/>
            <w:vAlign w:val="center"/>
          </w:tcPr>
          <w:p>
            <w:pPr>
              <w:spacing w:after="20"/>
            </w:pPr>
            <w:r/>
            <w:r>
              <w:rPr>
                <w:b w:val="0"/>
                <w:sz w:val="15"/>
              </w:rPr>
              <w:t>969–1141</w:t>
            </w:r>
          </w:p>
        </w:tc>
      </w:tr>
      <w:tr>
        <w:tc>
          <w:tcPr>
            <w:tcW w:type="dxa" w:w="2232"/>
            <w:vAlign w:val="center"/>
          </w:tcPr>
          <w:p>
            <w:pPr>
              <w:spacing w:after="20"/>
            </w:pPr>
            <w:r/>
            <w:r>
              <w:rPr>
                <w:b w:val="0"/>
                <w:sz w:val="15"/>
              </w:rPr>
              <w:t>Retrieval/index</w:t>
            </w:r>
          </w:p>
        </w:tc>
        <w:tc>
          <w:tcPr>
            <w:tcW w:type="dxa" w:w="6480"/>
            <w:vAlign w:val="center"/>
          </w:tcPr>
          <w:p>
            <w:pPr>
              <w:spacing w:after="20"/>
            </w:pPr>
            <w:r/>
            <w:r>
              <w:rPr>
                <w:b w:val="0"/>
                <w:sz w:val="15"/>
              </w:rPr>
              <w:t>Base retriever, TF-IDF retriever, optional embedding retriever, cache invalidation and search.</w:t>
            </w:r>
          </w:p>
        </w:tc>
        <w:tc>
          <w:tcPr>
            <w:tcW w:type="dxa" w:w="1152"/>
            <w:vAlign w:val="center"/>
          </w:tcPr>
          <w:p>
            <w:pPr>
              <w:spacing w:after="20"/>
            </w:pPr>
            <w:r/>
            <w:r>
              <w:rPr>
                <w:b w:val="0"/>
                <w:sz w:val="15"/>
              </w:rPr>
              <w:t>1150–1240</w:t>
            </w:r>
          </w:p>
        </w:tc>
      </w:tr>
      <w:tr>
        <w:tc>
          <w:tcPr>
            <w:tcW w:type="dxa" w:w="2232"/>
            <w:vAlign w:val="center"/>
          </w:tcPr>
          <w:p>
            <w:pPr>
              <w:spacing w:after="20"/>
            </w:pPr>
            <w:r/>
            <w:r>
              <w:rPr>
                <w:b w:val="0"/>
                <w:sz w:val="15"/>
              </w:rPr>
              <w:t>LLM client</w:t>
            </w:r>
          </w:p>
        </w:tc>
        <w:tc>
          <w:tcPr>
            <w:tcW w:type="dxa" w:w="6480"/>
            <w:vAlign w:val="center"/>
          </w:tcPr>
          <w:p>
            <w:pPr>
              <w:spacing w:after="20"/>
            </w:pPr>
            <w:r/>
            <w:r>
              <w:rPr>
                <w:b w:val="0"/>
                <w:sz w:val="15"/>
              </w:rPr>
              <w:t>Client setup, chat completion, image description helper and LLM error handling.</w:t>
            </w:r>
          </w:p>
        </w:tc>
        <w:tc>
          <w:tcPr>
            <w:tcW w:type="dxa" w:w="1152"/>
            <w:vAlign w:val="center"/>
          </w:tcPr>
          <w:p>
            <w:pPr>
              <w:spacing w:after="20"/>
            </w:pPr>
            <w:r/>
            <w:r>
              <w:rPr>
                <w:b w:val="0"/>
                <w:sz w:val="15"/>
              </w:rPr>
              <w:t>1251–1324</w:t>
            </w:r>
          </w:p>
        </w:tc>
      </w:tr>
      <w:tr>
        <w:tc>
          <w:tcPr>
            <w:tcW w:type="dxa" w:w="2232"/>
            <w:vAlign w:val="center"/>
          </w:tcPr>
          <w:p>
            <w:pPr>
              <w:spacing w:after="20"/>
            </w:pPr>
            <w:r/>
            <w:r>
              <w:rPr>
                <w:b w:val="0"/>
                <w:sz w:val="15"/>
              </w:rPr>
              <w:t>Spreadsheet query logic</w:t>
            </w:r>
          </w:p>
        </w:tc>
        <w:tc>
          <w:tcPr>
            <w:tcW w:type="dxa" w:w="6480"/>
            <w:vAlign w:val="center"/>
          </w:tcPr>
          <w:p>
            <w:pPr>
              <w:spacing w:after="20"/>
            </w:pPr>
            <w:r/>
            <w:r>
              <w:rPr>
                <w:b w:val="0"/>
                <w:sz w:val="15"/>
              </w:rPr>
              <w:t>Schema description, question parsing, filtering and calculations over extracted tabular data.</w:t>
            </w:r>
          </w:p>
        </w:tc>
        <w:tc>
          <w:tcPr>
            <w:tcW w:type="dxa" w:w="1152"/>
            <w:vAlign w:val="center"/>
          </w:tcPr>
          <w:p>
            <w:pPr>
              <w:spacing w:after="20"/>
            </w:pPr>
            <w:r/>
            <w:r>
              <w:rPr>
                <w:b w:val="0"/>
                <w:sz w:val="15"/>
              </w:rPr>
              <w:t>1327–1451</w:t>
            </w:r>
          </w:p>
        </w:tc>
      </w:tr>
      <w:tr>
        <w:tc>
          <w:tcPr>
            <w:tcW w:type="dxa" w:w="2232"/>
            <w:vAlign w:val="center"/>
          </w:tcPr>
          <w:p>
            <w:pPr>
              <w:spacing w:after="20"/>
            </w:pPr>
            <w:r/>
            <w:r>
              <w:rPr>
                <w:b w:val="0"/>
                <w:sz w:val="15"/>
              </w:rPr>
              <w:t>Document ingestion orchestration</w:t>
            </w:r>
          </w:p>
        </w:tc>
        <w:tc>
          <w:tcPr>
            <w:tcW w:type="dxa" w:w="6480"/>
            <w:vAlign w:val="center"/>
          </w:tcPr>
          <w:p>
            <w:pPr>
              <w:spacing w:after="20"/>
            </w:pPr>
            <w:r/>
            <w:r>
              <w:rPr>
                <w:b w:val="0"/>
                <w:sz w:val="15"/>
              </w:rPr>
              <w:t>Coordinates status updates, extraction, chunk creation and persistence for a document.</w:t>
            </w:r>
          </w:p>
        </w:tc>
        <w:tc>
          <w:tcPr>
            <w:tcW w:type="dxa" w:w="1152"/>
            <w:vAlign w:val="center"/>
          </w:tcPr>
          <w:p>
            <w:pPr>
              <w:spacing w:after="20"/>
            </w:pPr>
            <w:r/>
            <w:r>
              <w:rPr>
                <w:b w:val="0"/>
                <w:sz w:val="15"/>
              </w:rPr>
              <w:t>1462–1497</w:t>
            </w:r>
          </w:p>
        </w:tc>
      </w:tr>
      <w:tr>
        <w:tc>
          <w:tcPr>
            <w:tcW w:type="dxa" w:w="2232"/>
            <w:vAlign w:val="center"/>
          </w:tcPr>
          <w:p>
            <w:pPr>
              <w:spacing w:after="20"/>
            </w:pPr>
            <w:r/>
            <w:r>
              <w:rPr>
                <w:b w:val="0"/>
                <w:sz w:val="15"/>
              </w:rPr>
              <w:t>Question answering</w:t>
            </w:r>
          </w:p>
        </w:tc>
        <w:tc>
          <w:tcPr>
            <w:tcW w:type="dxa" w:w="6480"/>
            <w:vAlign w:val="center"/>
          </w:tcPr>
          <w:p>
            <w:pPr>
              <w:spacing w:after="20"/>
            </w:pPr>
            <w:r/>
            <w:r>
              <w:rPr>
                <w:b w:val="0"/>
                <w:sz w:val="15"/>
              </w:rPr>
              <w:t>Selects searchable documents, retrieves context, creates source labels, adds calculation results, calls LLM and persists messages.</w:t>
            </w:r>
          </w:p>
        </w:tc>
        <w:tc>
          <w:tcPr>
            <w:tcW w:type="dxa" w:w="1152"/>
            <w:vAlign w:val="center"/>
          </w:tcPr>
          <w:p>
            <w:pPr>
              <w:spacing w:after="20"/>
            </w:pPr>
            <w:r/>
            <w:r>
              <w:rPr>
                <w:b w:val="0"/>
                <w:sz w:val="15"/>
              </w:rPr>
              <w:t>1532–1641</w:t>
            </w:r>
          </w:p>
        </w:tc>
      </w:tr>
      <w:tr>
        <w:tc>
          <w:tcPr>
            <w:tcW w:type="dxa" w:w="2232"/>
            <w:vAlign w:val="center"/>
          </w:tcPr>
          <w:p>
            <w:pPr>
              <w:spacing w:after="20"/>
            </w:pPr>
            <w:r/>
            <w:r>
              <w:rPr>
                <w:b w:val="0"/>
                <w:sz w:val="15"/>
              </w:rPr>
              <w:t>Logging and upload helpers</w:t>
            </w:r>
          </w:p>
        </w:tc>
        <w:tc>
          <w:tcPr>
            <w:tcW w:type="dxa" w:w="6480"/>
            <w:vAlign w:val="center"/>
          </w:tcPr>
          <w:p>
            <w:pPr>
              <w:spacing w:after="20"/>
            </w:pPr>
            <w:r/>
            <w:r>
              <w:rPr>
                <w:b w:val="0"/>
                <w:sz w:val="15"/>
              </w:rPr>
              <w:t>Rotating log setup, public document shape, safe upload naming and finalization.</w:t>
            </w:r>
          </w:p>
        </w:tc>
        <w:tc>
          <w:tcPr>
            <w:tcW w:type="dxa" w:w="1152"/>
            <w:vAlign w:val="center"/>
          </w:tcPr>
          <w:p>
            <w:pPr>
              <w:spacing w:after="20"/>
            </w:pPr>
            <w:r/>
            <w:r>
              <w:rPr>
                <w:b w:val="0"/>
                <w:sz w:val="15"/>
              </w:rPr>
              <w:t>1674–1731</w:t>
            </w:r>
          </w:p>
        </w:tc>
      </w:tr>
      <w:tr>
        <w:tc>
          <w:tcPr>
            <w:tcW w:type="dxa" w:w="2232"/>
            <w:vAlign w:val="center"/>
          </w:tcPr>
          <w:p>
            <w:pPr>
              <w:spacing w:after="20"/>
            </w:pPr>
            <w:r/>
            <w:r>
              <w:rPr>
                <w:b w:val="0"/>
                <w:sz w:val="15"/>
              </w:rPr>
              <w:t>Optional REST API</w:t>
            </w:r>
          </w:p>
        </w:tc>
        <w:tc>
          <w:tcPr>
            <w:tcW w:type="dxa" w:w="6480"/>
            <w:vAlign w:val="center"/>
          </w:tcPr>
          <w:p>
            <w:pPr>
              <w:spacing w:after="20"/>
            </w:pPr>
            <w:r/>
            <w:r>
              <w:rPr>
                <w:b w:val="0"/>
                <w:sz w:val="15"/>
              </w:rPr>
              <w:t>Health/config, upload/list/get/delete document, source lookup, conversations, chat and suggestions endpoints.</w:t>
            </w:r>
          </w:p>
        </w:tc>
        <w:tc>
          <w:tcPr>
            <w:tcW w:type="dxa" w:w="1152"/>
            <w:vAlign w:val="center"/>
          </w:tcPr>
          <w:p>
            <w:pPr>
              <w:spacing w:after="20"/>
            </w:pPr>
            <w:r/>
            <w:r>
              <w:rPr>
                <w:b w:val="0"/>
                <w:sz w:val="15"/>
              </w:rPr>
              <w:t>1737–1900</w:t>
            </w:r>
          </w:p>
        </w:tc>
      </w:tr>
      <w:tr>
        <w:tc>
          <w:tcPr>
            <w:tcW w:type="dxa" w:w="2232"/>
            <w:vAlign w:val="center"/>
          </w:tcPr>
          <w:p>
            <w:pPr>
              <w:spacing w:after="20"/>
            </w:pPr>
            <w:r/>
            <w:r>
              <w:rPr>
                <w:b w:val="0"/>
                <w:sz w:val="15"/>
              </w:rPr>
              <w:t>Streamlit interface</w:t>
            </w:r>
          </w:p>
        </w:tc>
        <w:tc>
          <w:tcPr>
            <w:tcW w:type="dxa" w:w="6480"/>
            <w:vAlign w:val="center"/>
          </w:tcPr>
          <w:p>
            <w:pPr>
              <w:spacing w:after="20"/>
            </w:pPr>
            <w:r/>
            <w:r>
              <w:rPr>
                <w:b w:val="0"/>
                <w:sz w:val="15"/>
              </w:rPr>
              <w:t>Sidebar uploads and library, document inclusion toggles, conversation history, chat input, source expanders and retry.</w:t>
            </w:r>
          </w:p>
        </w:tc>
        <w:tc>
          <w:tcPr>
            <w:tcW w:type="dxa" w:w="1152"/>
            <w:vAlign w:val="center"/>
          </w:tcPr>
          <w:p>
            <w:pPr>
              <w:spacing w:after="20"/>
            </w:pPr>
            <w:r/>
            <w:r>
              <w:rPr>
                <w:b w:val="0"/>
                <w:sz w:val="15"/>
              </w:rPr>
              <w:t>1914–2125</w:t>
            </w:r>
          </w:p>
        </w:tc>
      </w:tr>
    </w:tbl>
    <w:p>
      <w:pPr>
        <w:spacing w:after="20"/>
      </w:pPr>
    </w:p>
    <w:p>
      <w:pPr>
        <w:pStyle w:val="Heading1"/>
      </w:pPr>
      <w:r>
        <w:t>4. Data path through the application</w:t>
      </w:r>
    </w:p>
    <w:p>
      <w:pPr>
        <w:pStyle w:val="ListNumber"/>
        <w:spacing w:after="40"/>
      </w:pPr>
      <w:r>
        <w:t>Upload: the UI/API accepts a file and enforces the per-file size limit before it becomes searchable.</w:t>
      </w:r>
    </w:p>
    <w:p>
      <w:pPr>
        <w:pStyle w:val="ListNumber"/>
        <w:spacing w:after="40"/>
      </w:pPr>
      <w:r>
        <w:t>Validation: the code checks the extension and detected content signature. ZIP-based Office/OpenDocument formats are checked for excessive uncompressed size and entry count.</w:t>
      </w:r>
    </w:p>
    <w:p>
      <w:pPr>
        <w:pStyle w:val="ListNumber"/>
        <w:spacing w:after="40"/>
      </w:pPr>
      <w:r>
        <w:t>Extraction: the registered handler returns an Extraction object containing Segments. Metadata can identify a page, slide, sheet, section, or other source location.</w:t>
      </w:r>
    </w:p>
    <w:p>
      <w:pPr>
        <w:pStyle w:val="ListNumber"/>
        <w:spacing w:after="40"/>
      </w:pPr>
      <w:r>
        <w:t>Chunking: extracted segments are cleaned and divided into smaller text pieces. The configured defaults are CHUNK_SIZE=1000 characters and CHUNK_OVERLAP=150 characters.</w:t>
      </w:r>
    </w:p>
    <w:p>
      <w:pPr>
        <w:pStyle w:val="ListNumber"/>
        <w:spacing w:after="40"/>
      </w:pPr>
      <w:r>
        <w:t>Persistence: SQLite stores document records, chunks, conversation records, and messages. Uploaded files are kept under the configured data directory.</w:t>
      </w:r>
    </w:p>
    <w:p>
      <w:pPr>
        <w:pStyle w:val="ListNumber"/>
        <w:spacing w:after="40"/>
      </w:pPr>
      <w:r>
        <w:t>Retrieval: the default TF-IDF retriever ranks matching chunks. The optional sentence-transformers backend uses vector embeddings when explicitly configured and installed.</w:t>
      </w:r>
    </w:p>
    <w:p>
      <w:pPr>
        <w:pStyle w:val="ListNumber"/>
        <w:spacing w:after="40"/>
      </w:pPr>
      <w:r>
        <w:t>Answering: retrieved context, source labels, recent chat history, and any calculated tabular results are included in the prompt. The system prompt instructs the model to ground answers in the supplied sources.</w:t>
      </w:r>
    </w:p>
    <w:p>
      <w:pPr>
        <w:pStyle w:val="ListNumber"/>
        <w:spacing w:after="40"/>
      </w:pPr>
      <w:r>
        <w:t>Display: the answer, searched filenames, and source snippets are rendered in Streamlit; the same core answer function is reachable through POST /api/chat when the optional API is used.</w:t>
      </w:r>
    </w:p>
    <w:p>
      <w:pPr>
        <w:pStyle w:val="Heading1"/>
      </w:pPr>
      <w:r>
        <w:t>5. Main dependencies and when they are used</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DCEAF7"/>
          </w:tcPr>
          <w:p>
            <w:pPr>
              <w:spacing w:after="20"/>
            </w:pPr>
            <w:r/>
            <w:r>
              <w:rPr>
                <w:b/>
                <w:sz w:val="15"/>
              </w:rPr>
              <w:t>Software / library</w:t>
            </w:r>
          </w:p>
        </w:tc>
        <w:tc>
          <w:tcPr>
            <w:tcW w:type="dxa" w:w="6696"/>
            <w:vAlign w:val="center"/>
            <w:shd w:fill="DCEAF7"/>
          </w:tcPr>
          <w:p>
            <w:pPr>
              <w:spacing w:after="20"/>
            </w:pPr>
            <w:r/>
            <w:r>
              <w:rPr>
                <w:b/>
                <w:sz w:val="15"/>
              </w:rPr>
              <w:t>Role in the code</w:t>
            </w:r>
          </w:p>
        </w:tc>
        <w:tc>
          <w:tcPr>
            <w:tcW w:type="dxa" w:w="936"/>
            <w:vAlign w:val="center"/>
            <w:shd w:fill="DCEAF7"/>
          </w:tcPr>
          <w:p>
            <w:pPr>
              <w:spacing w:after="20"/>
            </w:pPr>
            <w:r/>
            <w:r>
              <w:rPr>
                <w:b/>
                <w:sz w:val="15"/>
              </w:rPr>
              <w:t>Use</w:t>
            </w:r>
          </w:p>
        </w:tc>
      </w:tr>
      <w:tr>
        <w:tc>
          <w:tcPr>
            <w:tcW w:type="dxa" w:w="2232"/>
            <w:vAlign w:val="center"/>
          </w:tcPr>
          <w:p>
            <w:pPr>
              <w:spacing w:after="20"/>
            </w:pPr>
            <w:r/>
            <w:r>
              <w:rPr>
                <w:b w:val="0"/>
                <w:sz w:val="15"/>
              </w:rPr>
              <w:t>Python standard library</w:t>
            </w:r>
          </w:p>
        </w:tc>
        <w:tc>
          <w:tcPr>
            <w:tcW w:type="dxa" w:w="6696"/>
            <w:vAlign w:val="center"/>
          </w:tcPr>
          <w:p>
            <w:pPr>
              <w:spacing w:after="20"/>
            </w:pPr>
            <w:r/>
            <w:r>
              <w:rPr>
                <w:b w:val="0"/>
                <w:sz w:val="15"/>
              </w:rPr>
              <w:t>Path/file handling, regex, JSON, SQLite, ZIP inspection, logging, threading and subprocess utilities.</w:t>
            </w:r>
          </w:p>
        </w:tc>
        <w:tc>
          <w:tcPr>
            <w:tcW w:type="dxa" w:w="936"/>
            <w:vAlign w:val="center"/>
          </w:tcPr>
          <w:p>
            <w:pPr>
              <w:spacing w:after="20"/>
            </w:pPr>
            <w:r/>
            <w:r>
              <w:rPr>
                <w:b w:val="0"/>
                <w:sz w:val="15"/>
              </w:rPr>
              <w:t>Always</w:t>
            </w:r>
          </w:p>
        </w:tc>
      </w:tr>
      <w:tr>
        <w:tc>
          <w:tcPr>
            <w:tcW w:type="dxa" w:w="2232"/>
            <w:vAlign w:val="center"/>
          </w:tcPr>
          <w:p>
            <w:pPr>
              <w:spacing w:after="20"/>
            </w:pPr>
            <w:r/>
            <w:r>
              <w:rPr>
                <w:b w:val="0"/>
                <w:sz w:val="15"/>
              </w:rPr>
              <w:t>Streamlit</w:t>
            </w:r>
          </w:p>
        </w:tc>
        <w:tc>
          <w:tcPr>
            <w:tcW w:type="dxa" w:w="6696"/>
            <w:vAlign w:val="center"/>
          </w:tcPr>
          <w:p>
            <w:pPr>
              <w:spacing w:after="20"/>
            </w:pPr>
            <w:r/>
            <w:r>
              <w:rPr>
                <w:b w:val="0"/>
                <w:sz w:val="15"/>
              </w:rPr>
              <w:t>Main interactive upload/chat interface; session state and display of sources/status.</w:t>
            </w:r>
          </w:p>
        </w:tc>
        <w:tc>
          <w:tcPr>
            <w:tcW w:type="dxa" w:w="936"/>
            <w:vAlign w:val="center"/>
          </w:tcPr>
          <w:p>
            <w:pPr>
              <w:spacing w:after="20"/>
            </w:pPr>
            <w:r/>
            <w:r>
              <w:rPr>
                <w:b w:val="0"/>
                <w:sz w:val="15"/>
              </w:rPr>
              <w:t>Default UI</w:t>
            </w:r>
          </w:p>
        </w:tc>
      </w:tr>
      <w:tr>
        <w:tc>
          <w:tcPr>
            <w:tcW w:type="dxa" w:w="2232"/>
            <w:vAlign w:val="center"/>
          </w:tcPr>
          <w:p>
            <w:pPr>
              <w:spacing w:after="20"/>
            </w:pPr>
            <w:r/>
            <w:r>
              <w:rPr>
                <w:b w:val="0"/>
                <w:sz w:val="15"/>
              </w:rPr>
              <w:t>OpenAI Python SDK</w:t>
            </w:r>
          </w:p>
        </w:tc>
        <w:tc>
          <w:tcPr>
            <w:tcW w:type="dxa" w:w="6696"/>
            <w:vAlign w:val="center"/>
          </w:tcPr>
          <w:p>
            <w:pPr>
              <w:spacing w:after="20"/>
            </w:pPr>
            <w:r/>
            <w:r>
              <w:rPr>
                <w:b w:val="0"/>
                <w:sz w:val="15"/>
              </w:rPr>
              <w:t>OpenAI-compatible chat client configured with the Groq base URL.</w:t>
            </w:r>
          </w:p>
        </w:tc>
        <w:tc>
          <w:tcPr>
            <w:tcW w:type="dxa" w:w="936"/>
            <w:vAlign w:val="center"/>
          </w:tcPr>
          <w:p>
            <w:pPr>
              <w:spacing w:after="20"/>
            </w:pPr>
            <w:r/>
            <w:r>
              <w:rPr>
                <w:b w:val="0"/>
                <w:sz w:val="15"/>
              </w:rPr>
              <w:t>When generating AI answers</w:t>
            </w:r>
          </w:p>
        </w:tc>
      </w:tr>
      <w:tr>
        <w:tc>
          <w:tcPr>
            <w:tcW w:type="dxa" w:w="2232"/>
            <w:vAlign w:val="center"/>
          </w:tcPr>
          <w:p>
            <w:pPr>
              <w:spacing w:after="20"/>
            </w:pPr>
            <w:r/>
            <w:r>
              <w:rPr>
                <w:b w:val="0"/>
                <w:sz w:val="15"/>
              </w:rPr>
              <w:t>Groq API</w:t>
            </w:r>
          </w:p>
        </w:tc>
        <w:tc>
          <w:tcPr>
            <w:tcW w:type="dxa" w:w="6696"/>
            <w:vAlign w:val="center"/>
          </w:tcPr>
          <w:p>
            <w:pPr>
              <w:spacing w:after="20"/>
            </w:pPr>
            <w:r/>
            <w:r>
              <w:rPr>
                <w:b w:val="0"/>
                <w:sz w:val="15"/>
              </w:rPr>
              <w:t>Remote LLM inference for document Q&amp;A; separate vision-model setting is used for image description.</w:t>
            </w:r>
          </w:p>
        </w:tc>
        <w:tc>
          <w:tcPr>
            <w:tcW w:type="dxa" w:w="936"/>
            <w:vAlign w:val="center"/>
          </w:tcPr>
          <w:p>
            <w:pPr>
              <w:spacing w:after="20"/>
            </w:pPr>
            <w:r/>
            <w:r>
              <w:rPr>
                <w:b w:val="0"/>
                <w:sz w:val="15"/>
              </w:rPr>
              <w:t>Requires valid API key and network</w:t>
            </w:r>
          </w:p>
        </w:tc>
      </w:tr>
      <w:tr>
        <w:tc>
          <w:tcPr>
            <w:tcW w:type="dxa" w:w="2232"/>
            <w:vAlign w:val="center"/>
          </w:tcPr>
          <w:p>
            <w:pPr>
              <w:spacing w:after="20"/>
            </w:pPr>
            <w:r/>
            <w:r>
              <w:rPr>
                <w:b w:val="0"/>
                <w:sz w:val="15"/>
              </w:rPr>
              <w:t>SQLite</w:t>
            </w:r>
          </w:p>
        </w:tc>
        <w:tc>
          <w:tcPr>
            <w:tcW w:type="dxa" w:w="6696"/>
            <w:vAlign w:val="center"/>
          </w:tcPr>
          <w:p>
            <w:pPr>
              <w:spacing w:after="20"/>
            </w:pPr>
            <w:r/>
            <w:r>
              <w:rPr>
                <w:b w:val="0"/>
                <w:sz w:val="15"/>
              </w:rPr>
              <w:t>Local persistent storage for documents, chunks, conversations and messages.</w:t>
            </w:r>
          </w:p>
        </w:tc>
        <w:tc>
          <w:tcPr>
            <w:tcW w:type="dxa" w:w="936"/>
            <w:vAlign w:val="center"/>
          </w:tcPr>
          <w:p>
            <w:pPr>
              <w:spacing w:after="20"/>
            </w:pPr>
            <w:r/>
            <w:r>
              <w:rPr>
                <w:b w:val="0"/>
                <w:sz w:val="15"/>
              </w:rPr>
              <w:t>Always</w:t>
            </w:r>
          </w:p>
        </w:tc>
      </w:tr>
      <w:tr>
        <w:tc>
          <w:tcPr>
            <w:tcW w:type="dxa" w:w="2232"/>
            <w:vAlign w:val="center"/>
          </w:tcPr>
          <w:p>
            <w:pPr>
              <w:spacing w:after="20"/>
            </w:pPr>
            <w:r/>
            <w:r>
              <w:rPr>
                <w:b w:val="0"/>
                <w:sz w:val="15"/>
              </w:rPr>
              <w:t>Pandas / NumPy</w:t>
            </w:r>
          </w:p>
        </w:tc>
        <w:tc>
          <w:tcPr>
            <w:tcW w:type="dxa" w:w="6696"/>
            <w:vAlign w:val="center"/>
          </w:tcPr>
          <w:p>
            <w:pPr>
              <w:spacing w:after="20"/>
            </w:pPr>
            <w:r/>
            <w:r>
              <w:rPr>
                <w:b w:val="0"/>
                <w:sz w:val="15"/>
              </w:rPr>
              <w:t>Tabular extraction and spreadsheet calculations; NumPy also supports retrieval scoring.</w:t>
            </w:r>
          </w:p>
        </w:tc>
        <w:tc>
          <w:tcPr>
            <w:tcW w:type="dxa" w:w="936"/>
            <w:vAlign w:val="center"/>
          </w:tcPr>
          <w:p>
            <w:pPr>
              <w:spacing w:after="20"/>
            </w:pPr>
            <w:r/>
            <w:r>
              <w:rPr>
                <w:b w:val="0"/>
                <w:sz w:val="15"/>
              </w:rPr>
              <w:t>For spreadsheet and retrieval logic</w:t>
            </w:r>
          </w:p>
        </w:tc>
      </w:tr>
      <w:tr>
        <w:tc>
          <w:tcPr>
            <w:tcW w:type="dxa" w:w="2232"/>
            <w:vAlign w:val="center"/>
          </w:tcPr>
          <w:p>
            <w:pPr>
              <w:spacing w:after="20"/>
            </w:pPr>
            <w:r/>
            <w:r>
              <w:rPr>
                <w:b w:val="0"/>
                <w:sz w:val="15"/>
              </w:rPr>
              <w:t>scikit-learn</w:t>
            </w:r>
          </w:p>
        </w:tc>
        <w:tc>
          <w:tcPr>
            <w:tcW w:type="dxa" w:w="6696"/>
            <w:vAlign w:val="center"/>
          </w:tcPr>
          <w:p>
            <w:pPr>
              <w:spacing w:after="20"/>
            </w:pPr>
            <w:r/>
            <w:r>
              <w:rPr>
                <w:b w:val="0"/>
                <w:sz w:val="15"/>
              </w:rPr>
              <w:t>TF-IDF vectorization and similarity ranking; default retrieval backend.</w:t>
            </w:r>
          </w:p>
        </w:tc>
        <w:tc>
          <w:tcPr>
            <w:tcW w:type="dxa" w:w="936"/>
            <w:vAlign w:val="center"/>
          </w:tcPr>
          <w:p>
            <w:pPr>
              <w:spacing w:after="20"/>
            </w:pPr>
            <w:r/>
            <w:r>
              <w:rPr>
                <w:b w:val="0"/>
                <w:sz w:val="15"/>
              </w:rPr>
              <w:t>Default retrieval</w:t>
            </w:r>
          </w:p>
        </w:tc>
      </w:tr>
      <w:tr>
        <w:tc>
          <w:tcPr>
            <w:tcW w:type="dxa" w:w="2232"/>
            <w:vAlign w:val="center"/>
          </w:tcPr>
          <w:p>
            <w:pPr>
              <w:spacing w:after="20"/>
            </w:pPr>
            <w:r/>
            <w:r>
              <w:rPr>
                <w:b w:val="0"/>
                <w:sz w:val="15"/>
              </w:rPr>
              <w:t>Document parsing packages</w:t>
            </w:r>
          </w:p>
        </w:tc>
        <w:tc>
          <w:tcPr>
            <w:tcW w:type="dxa" w:w="6696"/>
            <w:vAlign w:val="center"/>
          </w:tcPr>
          <w:p>
            <w:pPr>
              <w:spacing w:after="20"/>
            </w:pPr>
            <w:r/>
            <w:r>
              <w:rPr>
                <w:b w:val="0"/>
                <w:sz w:val="15"/>
              </w:rPr>
              <w:t>PyMuPDF, python-docx, python-pptx, openpyxl/xlrd, odfpy, striprtf, BeautifulSoup, Pillow, PyYAML and defusedxml cover supported formats.</w:t>
            </w:r>
          </w:p>
        </w:tc>
        <w:tc>
          <w:tcPr>
            <w:tcW w:type="dxa" w:w="936"/>
            <w:vAlign w:val="center"/>
          </w:tcPr>
          <w:p>
            <w:pPr>
              <w:spacing w:after="20"/>
            </w:pPr>
            <w:r/>
            <w:r>
              <w:rPr>
                <w:b w:val="0"/>
                <w:sz w:val="15"/>
              </w:rPr>
              <w:t>As file format requires</w:t>
            </w:r>
          </w:p>
        </w:tc>
      </w:tr>
      <w:tr>
        <w:tc>
          <w:tcPr>
            <w:tcW w:type="dxa" w:w="2232"/>
            <w:vAlign w:val="center"/>
          </w:tcPr>
          <w:p>
            <w:pPr>
              <w:spacing w:after="20"/>
            </w:pPr>
            <w:r/>
            <w:r>
              <w:rPr>
                <w:b w:val="0"/>
                <w:sz w:val="15"/>
              </w:rPr>
              <w:t>Tesseract + pytesseract</w:t>
            </w:r>
          </w:p>
        </w:tc>
        <w:tc>
          <w:tcPr>
            <w:tcW w:type="dxa" w:w="6696"/>
            <w:vAlign w:val="center"/>
          </w:tcPr>
          <w:p>
            <w:pPr>
              <w:spacing w:after="20"/>
            </w:pPr>
            <w:r/>
            <w:r>
              <w:rPr>
                <w:b w:val="0"/>
                <w:sz w:val="15"/>
              </w:rPr>
              <w:t>OCR for images and scanned PDF pages when both Python wrapper and external executable are available.</w:t>
            </w:r>
          </w:p>
        </w:tc>
        <w:tc>
          <w:tcPr>
            <w:tcW w:type="dxa" w:w="936"/>
            <w:vAlign w:val="center"/>
          </w:tcPr>
          <w:p>
            <w:pPr>
              <w:spacing w:after="20"/>
            </w:pPr>
            <w:r/>
            <w:r>
              <w:rPr>
                <w:b w:val="0"/>
                <w:sz w:val="15"/>
              </w:rPr>
              <w:t>Optional</w:t>
            </w:r>
          </w:p>
        </w:tc>
      </w:tr>
      <w:tr>
        <w:tc>
          <w:tcPr>
            <w:tcW w:type="dxa" w:w="2232"/>
            <w:vAlign w:val="center"/>
          </w:tcPr>
          <w:p>
            <w:pPr>
              <w:spacing w:after="20"/>
            </w:pPr>
            <w:r/>
            <w:r>
              <w:rPr>
                <w:b w:val="0"/>
                <w:sz w:val="15"/>
              </w:rPr>
              <w:t>LibreOffice</w:t>
            </w:r>
          </w:p>
        </w:tc>
        <w:tc>
          <w:tcPr>
            <w:tcW w:type="dxa" w:w="6696"/>
            <w:vAlign w:val="center"/>
          </w:tcPr>
          <w:p>
            <w:pPr>
              <w:spacing w:after="20"/>
            </w:pPr>
            <w:r/>
            <w:r>
              <w:rPr>
                <w:b w:val="0"/>
                <w:sz w:val="15"/>
              </w:rPr>
              <w:t>Headless conversion for legacy .doc/.ppt formats when installed.</w:t>
            </w:r>
          </w:p>
        </w:tc>
        <w:tc>
          <w:tcPr>
            <w:tcW w:type="dxa" w:w="936"/>
            <w:vAlign w:val="center"/>
          </w:tcPr>
          <w:p>
            <w:pPr>
              <w:spacing w:after="20"/>
            </w:pPr>
            <w:r/>
            <w:r>
              <w:rPr>
                <w:b w:val="0"/>
                <w:sz w:val="15"/>
              </w:rPr>
              <w:t>Optional</w:t>
            </w:r>
          </w:p>
        </w:tc>
      </w:tr>
      <w:tr>
        <w:tc>
          <w:tcPr>
            <w:tcW w:type="dxa" w:w="2232"/>
            <w:vAlign w:val="center"/>
          </w:tcPr>
          <w:p>
            <w:pPr>
              <w:spacing w:after="20"/>
            </w:pPr>
            <w:r/>
            <w:r>
              <w:rPr>
                <w:b w:val="0"/>
                <w:sz w:val="15"/>
              </w:rPr>
              <w:t>FastAPI + Uvicorn</w:t>
            </w:r>
          </w:p>
        </w:tc>
        <w:tc>
          <w:tcPr>
            <w:tcW w:type="dxa" w:w="6696"/>
            <w:vAlign w:val="center"/>
          </w:tcPr>
          <w:p>
            <w:pPr>
              <w:spacing w:after="20"/>
            </w:pPr>
            <w:r/>
            <w:r>
              <w:rPr>
                <w:b w:val="0"/>
                <w:sz w:val="15"/>
              </w:rPr>
              <w:t>Exposes REST endpoints around the same core processing and answer functions.</w:t>
            </w:r>
          </w:p>
        </w:tc>
        <w:tc>
          <w:tcPr>
            <w:tcW w:type="dxa" w:w="936"/>
            <w:vAlign w:val="center"/>
          </w:tcPr>
          <w:p>
            <w:pPr>
              <w:spacing w:after="20"/>
            </w:pPr>
            <w:r/>
            <w:r>
              <w:rPr>
                <w:b w:val="0"/>
                <w:sz w:val="15"/>
              </w:rPr>
              <w:t>Optional API mode</w:t>
            </w:r>
          </w:p>
        </w:tc>
      </w:tr>
      <w:tr>
        <w:tc>
          <w:tcPr>
            <w:tcW w:type="dxa" w:w="2232"/>
            <w:vAlign w:val="center"/>
          </w:tcPr>
          <w:p>
            <w:pPr>
              <w:spacing w:after="20"/>
            </w:pPr>
            <w:r/>
            <w:r>
              <w:rPr>
                <w:b w:val="0"/>
                <w:sz w:val="15"/>
              </w:rPr>
              <w:t>python-dotenv</w:t>
            </w:r>
          </w:p>
        </w:tc>
        <w:tc>
          <w:tcPr>
            <w:tcW w:type="dxa" w:w="6696"/>
            <w:vAlign w:val="center"/>
          </w:tcPr>
          <w:p>
            <w:pPr>
              <w:spacing w:after="20"/>
            </w:pPr>
            <w:r/>
            <w:r>
              <w:rPr>
                <w:b w:val="0"/>
                <w:sz w:val="15"/>
              </w:rPr>
              <w:t>Loads a local .env file if the package is installed; environment variables and Streamlit secrets are also supported.</w:t>
            </w:r>
          </w:p>
        </w:tc>
        <w:tc>
          <w:tcPr>
            <w:tcW w:type="dxa" w:w="936"/>
            <w:vAlign w:val="center"/>
          </w:tcPr>
          <w:p>
            <w:pPr>
              <w:spacing w:after="20"/>
            </w:pPr>
            <w:r/>
            <w:r>
              <w:rPr>
                <w:b w:val="0"/>
                <w:sz w:val="15"/>
              </w:rPr>
              <w:t>Optional config helper</w:t>
            </w:r>
          </w:p>
        </w:tc>
      </w:tr>
    </w:tbl>
    <w:p>
      <w:pPr>
        <w:spacing w:after="20"/>
      </w:pPr>
    </w:p>
    <w:p>
      <w:pPr>
        <w:pStyle w:val="Heading1"/>
      </w:pPr>
      <w:r>
        <w:t>6. API mode (optional)</w:t>
      </w:r>
    </w:p>
    <w:p>
      <w:r>
        <w:t>Start the REST API with:  uvicorn documind_groq:api --port 8000</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DCEAF7"/>
          </w:tcPr>
          <w:p>
            <w:pPr>
              <w:spacing w:after="20"/>
            </w:pPr>
            <w:r/>
            <w:r>
              <w:rPr>
                <w:b/>
                <w:sz w:val="15"/>
              </w:rPr>
              <w:t>Method</w:t>
            </w:r>
          </w:p>
        </w:tc>
        <w:tc>
          <w:tcPr>
            <w:tcW w:type="dxa" w:w="4176"/>
            <w:vAlign w:val="center"/>
            <w:shd w:fill="DCEAF7"/>
          </w:tcPr>
          <w:p>
            <w:pPr>
              <w:spacing w:after="20"/>
            </w:pPr>
            <w:r/>
            <w:r>
              <w:rPr>
                <w:b/>
                <w:sz w:val="15"/>
              </w:rPr>
              <w:t>Endpoint</w:t>
            </w:r>
          </w:p>
        </w:tc>
        <w:tc>
          <w:tcPr>
            <w:tcW w:type="dxa" w:w="4320"/>
            <w:vAlign w:val="center"/>
            <w:shd w:fill="DCEAF7"/>
          </w:tcPr>
          <w:p>
            <w:pPr>
              <w:spacing w:after="20"/>
            </w:pPr>
            <w:r/>
            <w:r>
              <w:rPr>
                <w:b/>
                <w:sz w:val="15"/>
              </w:rPr>
              <w:t>Purpose</w:t>
            </w:r>
          </w:p>
        </w:tc>
      </w:tr>
      <w:tr>
        <w:tc>
          <w:tcPr>
            <w:tcW w:type="dxa" w:w="1440"/>
            <w:vAlign w:val="center"/>
          </w:tcPr>
          <w:p>
            <w:pPr>
              <w:spacing w:after="20"/>
            </w:pPr>
            <w:r/>
            <w:r>
              <w:rPr>
                <w:b w:val="0"/>
                <w:sz w:val="15"/>
              </w:rPr>
              <w:t>GET</w:t>
            </w:r>
          </w:p>
        </w:tc>
        <w:tc>
          <w:tcPr>
            <w:tcW w:type="dxa" w:w="4176"/>
            <w:vAlign w:val="center"/>
          </w:tcPr>
          <w:p>
            <w:pPr>
              <w:spacing w:after="20"/>
            </w:pPr>
            <w:r/>
            <w:r>
              <w:rPr>
                <w:b w:val="0"/>
                <w:sz w:val="15"/>
              </w:rPr>
              <w:t>/api/health</w:t>
            </w:r>
          </w:p>
        </w:tc>
        <w:tc>
          <w:tcPr>
            <w:tcW w:type="dxa" w:w="4320"/>
            <w:vAlign w:val="center"/>
          </w:tcPr>
          <w:p>
            <w:pPr>
              <w:spacing w:after="20"/>
            </w:pPr>
            <w:r/>
            <w:r>
              <w:rPr>
                <w:b w:val="0"/>
                <w:sz w:val="15"/>
              </w:rPr>
              <w:t>Basic service health response.</w:t>
            </w:r>
          </w:p>
        </w:tc>
      </w:tr>
      <w:tr>
        <w:tc>
          <w:tcPr>
            <w:tcW w:type="dxa" w:w="1440"/>
            <w:vAlign w:val="center"/>
          </w:tcPr>
          <w:p>
            <w:pPr>
              <w:spacing w:after="20"/>
            </w:pPr>
            <w:r/>
            <w:r>
              <w:rPr>
                <w:b w:val="0"/>
                <w:sz w:val="15"/>
              </w:rPr>
              <w:t>GET</w:t>
            </w:r>
          </w:p>
        </w:tc>
        <w:tc>
          <w:tcPr>
            <w:tcW w:type="dxa" w:w="4176"/>
            <w:vAlign w:val="center"/>
          </w:tcPr>
          <w:p>
            <w:pPr>
              <w:spacing w:after="20"/>
            </w:pPr>
            <w:r/>
            <w:r>
              <w:rPr>
                <w:b w:val="0"/>
                <w:sz w:val="15"/>
              </w:rPr>
              <w:t>/api/config</w:t>
            </w:r>
          </w:p>
        </w:tc>
        <w:tc>
          <w:tcPr>
            <w:tcW w:type="dxa" w:w="4320"/>
            <w:vAlign w:val="center"/>
          </w:tcPr>
          <w:p>
            <w:pPr>
              <w:spacing w:after="20"/>
            </w:pPr>
            <w:r/>
            <w:r>
              <w:rPr>
                <w:b w:val="0"/>
                <w:sz w:val="15"/>
              </w:rPr>
              <w:t>Supported formats, size limit, configured-model status and retrieval backend.</w:t>
            </w:r>
          </w:p>
        </w:tc>
      </w:tr>
      <w:tr>
        <w:tc>
          <w:tcPr>
            <w:tcW w:type="dxa" w:w="1440"/>
            <w:vAlign w:val="center"/>
          </w:tcPr>
          <w:p>
            <w:pPr>
              <w:spacing w:after="20"/>
            </w:pPr>
            <w:r/>
            <w:r>
              <w:rPr>
                <w:b w:val="0"/>
                <w:sz w:val="15"/>
              </w:rPr>
              <w:t>POST</w:t>
            </w:r>
          </w:p>
        </w:tc>
        <w:tc>
          <w:tcPr>
            <w:tcW w:type="dxa" w:w="4176"/>
            <w:vAlign w:val="center"/>
          </w:tcPr>
          <w:p>
            <w:pPr>
              <w:spacing w:after="20"/>
            </w:pPr>
            <w:r/>
            <w:r>
              <w:rPr>
                <w:b w:val="0"/>
                <w:sz w:val="15"/>
              </w:rPr>
              <w:t>/api/documents</w:t>
            </w:r>
          </w:p>
        </w:tc>
        <w:tc>
          <w:tcPr>
            <w:tcW w:type="dxa" w:w="4320"/>
            <w:vAlign w:val="center"/>
          </w:tcPr>
          <w:p>
            <w:pPr>
              <w:spacing w:after="20"/>
            </w:pPr>
            <w:r/>
            <w:r>
              <w:rPr>
                <w:b w:val="0"/>
                <w:sz w:val="15"/>
              </w:rPr>
              <w:t>Upload one or more files for validation and background processing.</w:t>
            </w:r>
          </w:p>
        </w:tc>
      </w:tr>
      <w:tr>
        <w:tc>
          <w:tcPr>
            <w:tcW w:type="dxa" w:w="1440"/>
            <w:vAlign w:val="center"/>
          </w:tcPr>
          <w:p>
            <w:pPr>
              <w:spacing w:after="20"/>
            </w:pPr>
            <w:r/>
            <w:r>
              <w:rPr>
                <w:b w:val="0"/>
                <w:sz w:val="15"/>
              </w:rPr>
              <w:t>GET / DELETE</w:t>
            </w:r>
          </w:p>
        </w:tc>
        <w:tc>
          <w:tcPr>
            <w:tcW w:type="dxa" w:w="4176"/>
            <w:vAlign w:val="center"/>
          </w:tcPr>
          <w:p>
            <w:pPr>
              <w:spacing w:after="20"/>
            </w:pPr>
            <w:r/>
            <w:r>
              <w:rPr>
                <w:b w:val="0"/>
                <w:sz w:val="15"/>
              </w:rPr>
              <w:t>/api/documents[/{doc_id}]</w:t>
            </w:r>
          </w:p>
        </w:tc>
        <w:tc>
          <w:tcPr>
            <w:tcW w:type="dxa" w:w="4320"/>
            <w:vAlign w:val="center"/>
          </w:tcPr>
          <w:p>
            <w:pPr>
              <w:spacing w:after="20"/>
            </w:pPr>
            <w:r/>
            <w:r>
              <w:rPr>
                <w:b w:val="0"/>
                <w:sz w:val="15"/>
              </w:rPr>
              <w:t>List documents, retrieve one document, or delete a document.</w:t>
            </w:r>
          </w:p>
        </w:tc>
      </w:tr>
      <w:tr>
        <w:tc>
          <w:tcPr>
            <w:tcW w:type="dxa" w:w="1440"/>
            <w:vAlign w:val="center"/>
          </w:tcPr>
          <w:p>
            <w:pPr>
              <w:spacing w:after="20"/>
            </w:pPr>
            <w:r/>
            <w:r>
              <w:rPr>
                <w:b w:val="0"/>
                <w:sz w:val="15"/>
              </w:rPr>
              <w:t>GET</w:t>
            </w:r>
          </w:p>
        </w:tc>
        <w:tc>
          <w:tcPr>
            <w:tcW w:type="dxa" w:w="4176"/>
            <w:vAlign w:val="center"/>
          </w:tcPr>
          <w:p>
            <w:pPr>
              <w:spacing w:after="20"/>
            </w:pPr>
            <w:r/>
            <w:r>
              <w:rPr>
                <w:b w:val="0"/>
                <w:sz w:val="15"/>
              </w:rPr>
              <w:t>/api/sources/{chunk_id}</w:t>
            </w:r>
          </w:p>
        </w:tc>
        <w:tc>
          <w:tcPr>
            <w:tcW w:type="dxa" w:w="4320"/>
            <w:vAlign w:val="center"/>
          </w:tcPr>
          <w:p>
            <w:pPr>
              <w:spacing w:after="20"/>
            </w:pPr>
            <w:r/>
            <w:r>
              <w:rPr>
                <w:b w:val="0"/>
                <w:sz w:val="15"/>
              </w:rPr>
              <w:t>Fetch a stored chunk/source record.</w:t>
            </w:r>
          </w:p>
        </w:tc>
      </w:tr>
      <w:tr>
        <w:tc>
          <w:tcPr>
            <w:tcW w:type="dxa" w:w="1440"/>
            <w:vAlign w:val="center"/>
          </w:tcPr>
          <w:p>
            <w:pPr>
              <w:spacing w:after="20"/>
            </w:pPr>
            <w:r/>
            <w:r>
              <w:rPr>
                <w:b w:val="0"/>
                <w:sz w:val="15"/>
              </w:rPr>
              <w:t>GET</w:t>
            </w:r>
          </w:p>
        </w:tc>
        <w:tc>
          <w:tcPr>
            <w:tcW w:type="dxa" w:w="4176"/>
            <w:vAlign w:val="center"/>
          </w:tcPr>
          <w:p>
            <w:pPr>
              <w:spacing w:after="20"/>
            </w:pPr>
            <w:r/>
            <w:r>
              <w:rPr>
                <w:b w:val="0"/>
                <w:sz w:val="15"/>
              </w:rPr>
              <w:t>/api/conversations; /api/conversations/{cid}/messages</w:t>
            </w:r>
          </w:p>
        </w:tc>
        <w:tc>
          <w:tcPr>
            <w:tcW w:type="dxa" w:w="4320"/>
            <w:vAlign w:val="center"/>
          </w:tcPr>
          <w:p>
            <w:pPr>
              <w:spacing w:after="20"/>
            </w:pPr>
            <w:r/>
            <w:r>
              <w:rPr>
                <w:b w:val="0"/>
                <w:sz w:val="15"/>
              </w:rPr>
              <w:t>List conversations and read messages.</w:t>
            </w:r>
          </w:p>
        </w:tc>
      </w:tr>
      <w:tr>
        <w:tc>
          <w:tcPr>
            <w:tcW w:type="dxa" w:w="1440"/>
            <w:vAlign w:val="center"/>
          </w:tcPr>
          <w:p>
            <w:pPr>
              <w:spacing w:after="20"/>
            </w:pPr>
            <w:r/>
            <w:r>
              <w:rPr>
                <w:b w:val="0"/>
                <w:sz w:val="15"/>
              </w:rPr>
              <w:t>POST</w:t>
            </w:r>
          </w:p>
        </w:tc>
        <w:tc>
          <w:tcPr>
            <w:tcW w:type="dxa" w:w="4176"/>
            <w:vAlign w:val="center"/>
          </w:tcPr>
          <w:p>
            <w:pPr>
              <w:spacing w:after="20"/>
            </w:pPr>
            <w:r/>
            <w:r>
              <w:rPr>
                <w:b w:val="0"/>
                <w:sz w:val="15"/>
              </w:rPr>
              <w:t>/api/chat</w:t>
            </w:r>
          </w:p>
        </w:tc>
        <w:tc>
          <w:tcPr>
            <w:tcW w:type="dxa" w:w="4320"/>
            <w:vAlign w:val="center"/>
          </w:tcPr>
          <w:p>
            <w:pPr>
              <w:spacing w:after="20"/>
            </w:pPr>
            <w:r/>
            <w:r>
              <w:rPr>
                <w:b w:val="0"/>
                <w:sz w:val="15"/>
              </w:rPr>
              <w:t>Submit a question to the same answer() workflow.</w:t>
            </w:r>
          </w:p>
        </w:tc>
      </w:tr>
      <w:tr>
        <w:tc>
          <w:tcPr>
            <w:tcW w:type="dxa" w:w="1440"/>
            <w:vAlign w:val="center"/>
          </w:tcPr>
          <w:p>
            <w:pPr>
              <w:spacing w:after="20"/>
            </w:pPr>
            <w:r/>
            <w:r>
              <w:rPr>
                <w:b w:val="0"/>
                <w:sz w:val="15"/>
              </w:rPr>
              <w:t>GET</w:t>
            </w:r>
          </w:p>
        </w:tc>
        <w:tc>
          <w:tcPr>
            <w:tcW w:type="dxa" w:w="4176"/>
            <w:vAlign w:val="center"/>
          </w:tcPr>
          <w:p>
            <w:pPr>
              <w:spacing w:after="20"/>
            </w:pPr>
            <w:r/>
            <w:r>
              <w:rPr>
                <w:b w:val="0"/>
                <w:sz w:val="15"/>
              </w:rPr>
              <w:t>/api/suggestions</w:t>
            </w:r>
          </w:p>
        </w:tc>
        <w:tc>
          <w:tcPr>
            <w:tcW w:type="dxa" w:w="4320"/>
            <w:vAlign w:val="center"/>
          </w:tcPr>
          <w:p>
            <w:pPr>
              <w:spacing w:after="20"/>
            </w:pPr>
            <w:r/>
            <w:r>
              <w:rPr>
                <w:b w:val="0"/>
                <w:sz w:val="15"/>
              </w:rPr>
              <w:t>Return generic suggested questions.</w:t>
            </w:r>
          </w:p>
        </w:tc>
      </w:tr>
    </w:tbl>
    <w:p>
      <w:pPr>
        <w:spacing w:after="20"/>
      </w:pPr>
    </w:p>
    <w:p>
      <w:r>
        <w:t>Workspace scoping: API routes expect a valid X-Workspace-Id header. The FastAPI application is created dynamically so that running the Streamlit script does not treat the module as an ASGI server.</w:t>
      </w:r>
    </w:p>
    <w:p>
      <w:pPr>
        <w:pStyle w:val="Heading1"/>
      </w:pPr>
      <w:r>
        <w:t>7. Verification performed for this documentation</w:t>
      </w:r>
    </w:p>
    <w:p>
      <w:r>
        <w:t>The following checks were executed against the reviewed source file in the current working environment. These are smoke checks, not a complete production test suite.</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DCEAF7"/>
          </w:tcPr>
          <w:p>
            <w:pPr>
              <w:spacing w:after="20"/>
            </w:pPr>
            <w:r/>
            <w:r>
              <w:rPr>
                <w:b/>
                <w:sz w:val="15"/>
              </w:rPr>
              <w:t>Check</w:t>
            </w:r>
          </w:p>
        </w:tc>
        <w:tc>
          <w:tcPr>
            <w:tcW w:type="dxa" w:w="1152"/>
            <w:vAlign w:val="center"/>
            <w:shd w:fill="DCEAF7"/>
          </w:tcPr>
          <w:p>
            <w:pPr>
              <w:spacing w:after="20"/>
            </w:pPr>
            <w:r/>
            <w:r>
              <w:rPr>
                <w:b/>
                <w:sz w:val="15"/>
              </w:rPr>
              <w:t>Result</w:t>
            </w:r>
          </w:p>
        </w:tc>
        <w:tc>
          <w:tcPr>
            <w:tcW w:type="dxa" w:w="6192"/>
            <w:vAlign w:val="center"/>
            <w:shd w:fill="DCEAF7"/>
          </w:tcPr>
          <w:p>
            <w:pPr>
              <w:spacing w:after="20"/>
            </w:pPr>
            <w:r/>
            <w:r>
              <w:rPr>
                <w:b/>
                <w:sz w:val="15"/>
              </w:rPr>
              <w:t>Evidence / boundary</w:t>
            </w:r>
          </w:p>
        </w:tc>
      </w:tr>
      <w:tr>
        <w:tc>
          <w:tcPr>
            <w:tcW w:type="dxa" w:w="2592"/>
            <w:vAlign w:val="center"/>
          </w:tcPr>
          <w:p>
            <w:pPr>
              <w:spacing w:after="20"/>
            </w:pPr>
            <w:r/>
            <w:r>
              <w:rPr>
                <w:b w:val="0"/>
                <w:sz w:val="15"/>
              </w:rPr>
              <w:t>Python syntax compilation</w:t>
            </w:r>
          </w:p>
        </w:tc>
        <w:tc>
          <w:tcPr>
            <w:tcW w:type="dxa" w:w="1152"/>
            <w:vAlign w:val="center"/>
          </w:tcPr>
          <w:p>
            <w:pPr>
              <w:spacing w:after="20"/>
            </w:pPr>
            <w:r/>
            <w:r>
              <w:rPr>
                <w:b w:val="0"/>
                <w:sz w:val="15"/>
              </w:rPr>
              <w:t>PASS</w:t>
            </w:r>
          </w:p>
        </w:tc>
        <w:tc>
          <w:tcPr>
            <w:tcW w:type="dxa" w:w="6192"/>
            <w:vAlign w:val="center"/>
          </w:tcPr>
          <w:p>
            <w:pPr>
              <w:spacing w:after="20"/>
            </w:pPr>
            <w:r/>
            <w:r>
              <w:rPr>
                <w:b w:val="0"/>
                <w:sz w:val="15"/>
              </w:rPr>
              <w:t>python -m py_compile documind_groq.py completed successfully.</w:t>
            </w:r>
          </w:p>
        </w:tc>
      </w:tr>
      <w:tr>
        <w:tc>
          <w:tcPr>
            <w:tcW w:type="dxa" w:w="2592"/>
            <w:vAlign w:val="center"/>
          </w:tcPr>
          <w:p>
            <w:pPr>
              <w:spacing w:after="20"/>
            </w:pPr>
            <w:r/>
            <w:r>
              <w:rPr>
                <w:b w:val="0"/>
                <w:sz w:val="15"/>
              </w:rPr>
              <w:t>Module import / API object</w:t>
            </w:r>
          </w:p>
        </w:tc>
        <w:tc>
          <w:tcPr>
            <w:tcW w:type="dxa" w:w="1152"/>
            <w:vAlign w:val="center"/>
          </w:tcPr>
          <w:p>
            <w:pPr>
              <w:spacing w:after="20"/>
            </w:pPr>
            <w:r/>
            <w:r>
              <w:rPr>
                <w:b w:val="0"/>
                <w:sz w:val="15"/>
              </w:rPr>
              <w:t>PASS</w:t>
            </w:r>
          </w:p>
        </w:tc>
        <w:tc>
          <w:tcPr>
            <w:tcW w:type="dxa" w:w="6192"/>
            <w:vAlign w:val="center"/>
          </w:tcPr>
          <w:p>
            <w:pPr>
              <w:spacing w:after="20"/>
            </w:pPr>
            <w:r/>
            <w:r>
              <w:rPr>
                <w:b w:val="0"/>
                <w:sz w:val="15"/>
              </w:rPr>
              <w:t>Module imported successfully; optional FastAPI app object was available in this environment.</w:t>
            </w:r>
          </w:p>
        </w:tc>
      </w:tr>
      <w:tr>
        <w:tc>
          <w:tcPr>
            <w:tcW w:type="dxa" w:w="2592"/>
            <w:vAlign w:val="center"/>
          </w:tcPr>
          <w:p>
            <w:pPr>
              <w:spacing w:after="20"/>
            </w:pPr>
            <w:r/>
            <w:r>
              <w:rPr>
                <w:b w:val="0"/>
                <w:sz w:val="15"/>
              </w:rPr>
              <w:t>Format detection and validation</w:t>
            </w:r>
          </w:p>
        </w:tc>
        <w:tc>
          <w:tcPr>
            <w:tcW w:type="dxa" w:w="1152"/>
            <w:vAlign w:val="center"/>
          </w:tcPr>
          <w:p>
            <w:pPr>
              <w:spacing w:after="20"/>
            </w:pPr>
            <w:r/>
            <w:r>
              <w:rPr>
                <w:b w:val="0"/>
                <w:sz w:val="15"/>
              </w:rPr>
              <w:t>PASS</w:t>
            </w:r>
          </w:p>
        </w:tc>
        <w:tc>
          <w:tcPr>
            <w:tcW w:type="dxa" w:w="6192"/>
            <w:vAlign w:val="center"/>
          </w:tcPr>
          <w:p>
            <w:pPr>
              <w:spacing w:after="20"/>
            </w:pPr>
            <w:r/>
            <w:r>
              <w:rPr>
                <w:b w:val="0"/>
                <w:sz w:val="15"/>
              </w:rPr>
              <w:t>A temporary plain-text sample was detected as text and accepted for .txt.</w:t>
            </w:r>
          </w:p>
        </w:tc>
      </w:tr>
      <w:tr>
        <w:tc>
          <w:tcPr>
            <w:tcW w:type="dxa" w:w="2592"/>
            <w:vAlign w:val="center"/>
          </w:tcPr>
          <w:p>
            <w:pPr>
              <w:spacing w:after="20"/>
            </w:pPr>
            <w:r/>
            <w:r>
              <w:rPr>
                <w:b w:val="0"/>
                <w:sz w:val="15"/>
              </w:rPr>
              <w:t>Text extraction</w:t>
            </w:r>
          </w:p>
        </w:tc>
        <w:tc>
          <w:tcPr>
            <w:tcW w:type="dxa" w:w="1152"/>
            <w:vAlign w:val="center"/>
          </w:tcPr>
          <w:p>
            <w:pPr>
              <w:spacing w:after="20"/>
            </w:pPr>
            <w:r/>
            <w:r>
              <w:rPr>
                <w:b w:val="0"/>
                <w:sz w:val="15"/>
              </w:rPr>
              <w:t>PASS</w:t>
            </w:r>
          </w:p>
        </w:tc>
        <w:tc>
          <w:tcPr>
            <w:tcW w:type="dxa" w:w="6192"/>
            <w:vAlign w:val="center"/>
          </w:tcPr>
          <w:p>
            <w:pPr>
              <w:spacing w:after="20"/>
            </w:pPr>
            <w:r/>
            <w:r>
              <w:rPr>
                <w:b w:val="0"/>
                <w:sz w:val="15"/>
              </w:rPr>
              <w:t>The registered plain-text processor returned extracted segment content.</w:t>
            </w:r>
          </w:p>
        </w:tc>
      </w:tr>
      <w:tr>
        <w:tc>
          <w:tcPr>
            <w:tcW w:type="dxa" w:w="2592"/>
            <w:vAlign w:val="center"/>
          </w:tcPr>
          <w:p>
            <w:pPr>
              <w:spacing w:after="20"/>
            </w:pPr>
            <w:r/>
            <w:r>
              <w:rPr>
                <w:b w:val="0"/>
                <w:sz w:val="15"/>
              </w:rPr>
              <w:t>Chunking</w:t>
            </w:r>
          </w:p>
        </w:tc>
        <w:tc>
          <w:tcPr>
            <w:tcW w:type="dxa" w:w="1152"/>
            <w:vAlign w:val="center"/>
          </w:tcPr>
          <w:p>
            <w:pPr>
              <w:spacing w:after="20"/>
            </w:pPr>
            <w:r/>
            <w:r>
              <w:rPr>
                <w:b w:val="0"/>
                <w:sz w:val="15"/>
              </w:rPr>
              <w:t>PASS</w:t>
            </w:r>
          </w:p>
        </w:tc>
        <w:tc>
          <w:tcPr>
            <w:tcW w:type="dxa" w:w="6192"/>
            <w:vAlign w:val="center"/>
          </w:tcPr>
          <w:p>
            <w:pPr>
              <w:spacing w:after="20"/>
            </w:pPr>
            <w:r/>
            <w:r>
              <w:rPr>
                <w:b w:val="0"/>
                <w:sz w:val="15"/>
              </w:rPr>
              <w:t>A short extracted sample produced a chunk with expected content.</w:t>
            </w:r>
          </w:p>
        </w:tc>
      </w:tr>
      <w:tr>
        <w:tc>
          <w:tcPr>
            <w:tcW w:type="dxa" w:w="2592"/>
            <w:vAlign w:val="center"/>
          </w:tcPr>
          <w:p>
            <w:pPr>
              <w:spacing w:after="20"/>
            </w:pPr>
            <w:r/>
            <w:r>
              <w:rPr>
                <w:b w:val="0"/>
                <w:sz w:val="15"/>
              </w:rPr>
              <w:t>SQLite smoke check</w:t>
            </w:r>
          </w:p>
        </w:tc>
        <w:tc>
          <w:tcPr>
            <w:tcW w:type="dxa" w:w="1152"/>
            <w:vAlign w:val="center"/>
          </w:tcPr>
          <w:p>
            <w:pPr>
              <w:spacing w:after="20"/>
            </w:pPr>
            <w:r/>
            <w:r>
              <w:rPr>
                <w:b w:val="0"/>
                <w:sz w:val="15"/>
              </w:rPr>
              <w:t>PASS</w:t>
            </w:r>
          </w:p>
        </w:tc>
        <w:tc>
          <w:tcPr>
            <w:tcW w:type="dxa" w:w="6192"/>
            <w:vAlign w:val="center"/>
          </w:tcPr>
          <w:p>
            <w:pPr>
              <w:spacing w:after="20"/>
            </w:pPr>
            <w:r/>
            <w:r>
              <w:rPr>
                <w:b w:val="0"/>
                <w:sz w:val="15"/>
              </w:rPr>
              <w:t>Database schema initialized in a temporary directory and a document record could be created/read.</w:t>
            </w:r>
          </w:p>
        </w:tc>
      </w:tr>
      <w:tr>
        <w:tc>
          <w:tcPr>
            <w:tcW w:type="dxa" w:w="2592"/>
            <w:vAlign w:val="center"/>
          </w:tcPr>
          <w:p>
            <w:pPr>
              <w:spacing w:after="20"/>
            </w:pPr>
            <w:r/>
            <w:r>
              <w:rPr>
                <w:b w:val="0"/>
                <w:sz w:val="15"/>
              </w:rPr>
              <w:t>TF-IDF retrieval smoke check</w:t>
            </w:r>
          </w:p>
        </w:tc>
        <w:tc>
          <w:tcPr>
            <w:tcW w:type="dxa" w:w="1152"/>
            <w:vAlign w:val="center"/>
          </w:tcPr>
          <w:p>
            <w:pPr>
              <w:spacing w:after="20"/>
            </w:pPr>
            <w:r/>
            <w:r>
              <w:rPr>
                <w:b w:val="0"/>
                <w:sz w:val="15"/>
              </w:rPr>
              <w:t>PASS</w:t>
            </w:r>
          </w:p>
        </w:tc>
        <w:tc>
          <w:tcPr>
            <w:tcW w:type="dxa" w:w="6192"/>
            <w:vAlign w:val="center"/>
          </w:tcPr>
          <w:p>
            <w:pPr>
              <w:spacing w:after="20"/>
            </w:pPr>
            <w:r/>
            <w:r>
              <w:rPr>
                <w:b w:val="0"/>
                <w:sz w:val="15"/>
              </w:rPr>
              <w:t>A query about quarterly revenue retrieved the synthetic finance sample ahead of unrelated text.</w:t>
            </w:r>
          </w:p>
        </w:tc>
      </w:tr>
      <w:tr>
        <w:tc>
          <w:tcPr>
            <w:tcW w:type="dxa" w:w="2592"/>
            <w:vAlign w:val="center"/>
          </w:tcPr>
          <w:p>
            <w:pPr>
              <w:spacing w:after="20"/>
            </w:pPr>
            <w:r/>
            <w:r>
              <w:rPr>
                <w:b w:val="0"/>
                <w:sz w:val="15"/>
              </w:rPr>
              <w:t>Live Groq inference / vision inference</w:t>
            </w:r>
          </w:p>
        </w:tc>
        <w:tc>
          <w:tcPr>
            <w:tcW w:type="dxa" w:w="1152"/>
            <w:vAlign w:val="center"/>
          </w:tcPr>
          <w:p>
            <w:pPr>
              <w:spacing w:after="20"/>
            </w:pPr>
            <w:r/>
            <w:r>
              <w:rPr>
                <w:b w:val="0"/>
                <w:sz w:val="15"/>
              </w:rPr>
              <w:t>NOT RUN</w:t>
            </w:r>
          </w:p>
        </w:tc>
        <w:tc>
          <w:tcPr>
            <w:tcW w:type="dxa" w:w="6192"/>
            <w:vAlign w:val="center"/>
          </w:tcPr>
          <w:p>
            <w:pPr>
              <w:spacing w:after="20"/>
            </w:pPr>
            <w:r/>
            <w:r>
              <w:rPr>
                <w:b w:val="0"/>
                <w:sz w:val="15"/>
              </w:rPr>
              <w:t>No external API call was made; API key validity, model availability, latency and generated-answer quality remain unverified.</w:t>
            </w:r>
          </w:p>
        </w:tc>
      </w:tr>
      <w:tr>
        <w:tc>
          <w:tcPr>
            <w:tcW w:type="dxa" w:w="2592"/>
            <w:vAlign w:val="center"/>
          </w:tcPr>
          <w:p>
            <w:pPr>
              <w:spacing w:after="20"/>
            </w:pPr>
            <w:r/>
            <w:r>
              <w:rPr>
                <w:b w:val="0"/>
                <w:sz w:val="15"/>
              </w:rPr>
              <w:t>Browser-based UI / deployment test</w:t>
            </w:r>
          </w:p>
        </w:tc>
        <w:tc>
          <w:tcPr>
            <w:tcW w:type="dxa" w:w="1152"/>
            <w:vAlign w:val="center"/>
          </w:tcPr>
          <w:p>
            <w:pPr>
              <w:spacing w:after="20"/>
            </w:pPr>
            <w:r/>
            <w:r>
              <w:rPr>
                <w:b w:val="0"/>
                <w:sz w:val="15"/>
              </w:rPr>
              <w:t>NOT RUN</w:t>
            </w:r>
          </w:p>
        </w:tc>
        <w:tc>
          <w:tcPr>
            <w:tcW w:type="dxa" w:w="6192"/>
            <w:vAlign w:val="center"/>
          </w:tcPr>
          <w:p>
            <w:pPr>
              <w:spacing w:after="20"/>
            </w:pPr>
            <w:r/>
            <w:r>
              <w:rPr>
                <w:b w:val="0"/>
                <w:sz w:val="15"/>
              </w:rPr>
              <w:t>No full interactive browser session or hosted deployment was performed.</w:t>
            </w:r>
          </w:p>
        </w:tc>
      </w:tr>
      <w:tr>
        <w:tc>
          <w:tcPr>
            <w:tcW w:type="dxa" w:w="2592"/>
            <w:vAlign w:val="center"/>
          </w:tcPr>
          <w:p>
            <w:pPr>
              <w:spacing w:after="20"/>
            </w:pPr>
            <w:r/>
            <w:r>
              <w:rPr>
                <w:b w:val="0"/>
                <w:sz w:val="15"/>
              </w:rPr>
              <w:t>Full multi-format regression suite</w:t>
            </w:r>
          </w:p>
        </w:tc>
        <w:tc>
          <w:tcPr>
            <w:tcW w:type="dxa" w:w="1152"/>
            <w:vAlign w:val="center"/>
          </w:tcPr>
          <w:p>
            <w:pPr>
              <w:spacing w:after="20"/>
            </w:pPr>
            <w:r/>
            <w:r>
              <w:rPr>
                <w:b w:val="0"/>
                <w:sz w:val="15"/>
              </w:rPr>
              <w:t>NOT RUN</w:t>
            </w:r>
          </w:p>
        </w:tc>
        <w:tc>
          <w:tcPr>
            <w:tcW w:type="dxa" w:w="6192"/>
            <w:vAlign w:val="center"/>
          </w:tcPr>
          <w:p>
            <w:pPr>
              <w:spacing w:after="20"/>
            </w:pPr>
            <w:r/>
            <w:r>
              <w:rPr>
                <w:b w:val="0"/>
                <w:sz w:val="15"/>
              </w:rPr>
              <w:t>Individual formats, OCR, LibreOffice conversion, large files and malformed/adversarial files were not exhaustively tested.</w:t>
            </w:r>
          </w:p>
        </w:tc>
      </w:tr>
    </w:tbl>
    <w:p>
      <w:pPr>
        <w:spacing w:after="20"/>
      </w:pPr>
    </w:p>
    <w:p>
      <w:pPr>
        <w:pStyle w:val="Heading1"/>
      </w:pPr>
      <w:r>
        <w:t>8. Important implementation and security notes</w:t>
      </w:r>
    </w:p>
    <w:p>
      <w:pPr>
        <w:pStyle w:val="ListBullet"/>
        <w:spacing w:after="40"/>
      </w:pPr>
      <w:r>
        <w:t>The application is a single-file implementation, not a multi-package architecture. The line map above describes logical sections inside documind_groq.py.</w:t>
      </w:r>
    </w:p>
    <w:p>
      <w:pPr>
        <w:pStyle w:val="ListBullet"/>
        <w:spacing w:after="40"/>
      </w:pPr>
      <w:r>
        <w:t>The default retriever is TF-IDF, not a vector database. Sentence-transformers is an optional alternative and requires its package/model to be available.</w:t>
      </w:r>
    </w:p>
    <w:p>
      <w:pPr>
        <w:pStyle w:val="ListBullet"/>
        <w:spacing w:after="40"/>
      </w:pPr>
      <w:r>
        <w:t>OCR and legacy Office conversion depend on separately installed system software; their presence is checked at runtime.</w:t>
      </w:r>
    </w:p>
    <w:p>
      <w:pPr>
        <w:pStyle w:val="ListBullet"/>
        <w:spacing w:after="40"/>
      </w:pPr>
      <w:r>
        <w:t>The source contains an inline API-key fallback in its configuration section. Do not commit or share a source file containing a live key. Rotate/revoke the exposed key and move credentials to GROQ_API_KEY in environment/.env or Streamlit secrets before sharing or deploying.</w:t>
      </w:r>
    </w:p>
    <w:p>
      <w:pPr>
        <w:pStyle w:val="ListBullet"/>
        <w:spacing w:after="40"/>
      </w:pPr>
      <w:r>
        <w:t>SQLite is local persistence. For multi-user production deployment, add authentication/authorization, secret management, access controls, backups, rate limits and deployment-specific storage planning.</w:t>
      </w:r>
    </w:p>
    <w:p>
      <w:pPr>
        <w:pStyle w:val="ListBullet"/>
        <w:spacing w:after="40"/>
      </w:pPr>
      <w:r>
        <w:t>This document reports only the checks listed in Section 7. Passing smoke checks does not prove that all file formats, API calls, security scenarios or production workloads work correctly.</w:t>
      </w:r>
    </w:p>
    <w:p>
      <w:pPr>
        <w:pStyle w:val="Heading1"/>
      </w:pPr>
      <w:r>
        <w:t>9. How to run the application</w:t>
      </w:r>
    </w:p>
    <w:p>
      <w:r>
        <w:t>Install dependencies from the project directory:</w:t>
      </w:r>
    </w:p>
    <w:p>
      <w:r>
        <w:rPr>
          <w:rFonts w:ascii="Consolas" w:hAnsi="Consolas"/>
          <w:sz w:val="18"/>
        </w:rPr>
        <w:t>python -m pip install -r requirements_groq.txt</w:t>
      </w:r>
    </w:p>
    <w:p>
      <w:r>
        <w:t>Start the default UI:</w:t>
      </w:r>
    </w:p>
    <w:p>
      <w:r>
        <w:rPr>
          <w:rFonts w:ascii="Consolas" w:hAnsi="Consolas"/>
          <w:sz w:val="18"/>
        </w:rPr>
        <w:t>streamlit run documind_groq.py</w:t>
      </w:r>
    </w:p>
    <w:p>
      <w:r>
        <w:t>Optional REST API:</w:t>
      </w:r>
    </w:p>
    <w:p>
      <w:r>
        <w:rPr>
          <w:rFonts w:ascii="Consolas" w:hAnsi="Consolas"/>
          <w:sz w:val="18"/>
        </w:rPr>
        <w:t>uvicorn documind_groq:api --port 8000</w:t>
      </w:r>
    </w:p>
    <w:p>
      <w:r>
        <w:t>Configure GROQ_API_KEY securely before testing real model responses. Model names and retrieval settings can be overridden with environment variables documented in the source configuration section.</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DocuMind AI • Technical Documentation • Source line references are version-specific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5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