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PROJECT STRATEGY PLAN</w:t>
      </w:r>
    </w:p>
    <w:p>
      <w:pPr>
        <w:spacing w:after="80"/>
        <w:jc w:val="center"/>
      </w:pPr>
      <w:r>
        <w:rPr>
          <w:rFonts w:ascii="Arial" w:cs="Arial" w:eastAsia="Arial" w:hAnsi="Arial"/>
          <w:color w:val="3D3D3A"/>
          <w:sz w:val="28"/>
          <w:szCs w:val="28"/>
        </w:rPr>
        <w:t xml:space="preserve">Development of Surface Air Quality Index (AQI) &amp;</w:t>
      </w:r>
    </w:p>
    <w:p>
      <w:pPr>
        <w:spacing w:after="400"/>
        <w:jc w:val="center"/>
      </w:pPr>
      <w:r>
        <w:rPr>
          <w:rFonts w:ascii="Arial" w:cs="Arial" w:eastAsia="Arial" w:hAnsi="Arial"/>
          <w:color w:val="3D3D3A"/>
          <w:sz w:val="28"/>
          <w:szCs w:val="28"/>
        </w:rPr>
        <w:t xml:space="preserve">Identification of HCHO Hotspots over India using Satellite Data</w:t>
      </w:r>
    </w:p>
    <w:p>
      <w:pPr>
        <w:pBdr>
          <w:top w:val="single" w:color="1F4E79" w:sz="6" w:space="1"/>
          <w:bottom w:val="single" w:color="1F4E79" w:sz="6" w:space="1"/>
        </w:pBdr>
        <w:spacing w:after="80"/>
        <w:jc w:val="center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ISRO / SAC Collaboration  |  Satellite Remote Sensing &amp; Deep Learning</w:t>
      </w:r>
    </w:p>
    <w:p>
      <w:pPr>
        <w:spacing w:after="400" w:before="0"/>
      </w:pPr>
    </w:p>
    <w:p>
      <w:pPr>
        <w:pStyle w:val="Heading1"/>
      </w:pPr>
      <w:r>
        <w:rPr>
          <w:rFonts w:ascii="Arial" w:cs="Arial" w:eastAsia="Arial" w:hAnsi="Arial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Air pollution is a critical public health hazard responsible for millions of excess deaths annually. The Air Quality Index (AQI) transforms weighted values of individual pollutants into a single communicable number. However, most of the global population lives more than 100 km from ground monitoring stations, making satellite-derived AQI essential for spatial coverage.</w:t>
      </w:r>
    </w:p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Formaldehyde (HCHO) is a key indicator of volatile organic compound (VOC) emissions and plays an important role in tropospheric ozone formation. During biomass burning events — agricultural residue burning and forest fires — large VOC releases produce enhanced HCHO concentrations detectable from space.</w:t>
      </w:r>
    </w:p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project directly supports the National Clean Air Programme (NCAP), SDG target 11.6 (reduce adverse environmental impact in cities), and ISRO/SAC national priorities for air quality monitoring.</w:t>
      </w:r>
    </w:p>
    <w:p>
      <w:pPr>
        <w:spacing w:after="160" w:before="0"/>
      </w:pPr>
    </w:p>
    <w:p>
      <w:pPr>
        <w:pStyle w:val="Heading2"/>
      </w:pPr>
      <w:r>
        <w:rPr>
          <w:rFonts w:ascii="Arial" w:cs="Arial" w:eastAsia="Arial" w:hAnsi="Arial"/>
        </w:rPr>
        <w:t xml:space="preserve">Project Objectives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Objective 1: Develop a surface AQI from satellite data — produce daily spatial maps of surface AQI across India using a CNN-LSTM deep learning model trained on INSAT-3D, TROPOMI, and CPCB observations.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Objective 2: Produce high-resolution HCHO hotspot maps during biomass burning seasons; identify major source regions (Indo-Gangetic Plain, forest fire zones); analyse fire–HCHO transport.</w:t>
      </w:r>
    </w:p>
    <w:p>
      <w:pPr>
        <w:spacing w:after="240" w:before="0"/>
      </w:pPr>
    </w:p>
    <w:p>
      <w:pPr>
        <w:pStyle w:val="Heading1"/>
      </w:pPr>
      <w:r>
        <w:rPr>
          <w:rFonts w:ascii="Arial" w:cs="Arial" w:eastAsia="Arial" w:hAnsi="Arial"/>
        </w:rPr>
        <w:t xml:space="preserve">2. Datasets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following datasets are required across both objectives: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3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Dataset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Source / Portal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Variables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INSAT-3D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MOSDAC (mosdac.gov.in)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AOD (550 nm)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Sentinel-5P TROPOMI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Earth Engine / DLR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NO2, SO2, CO, O3, HCHO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CPCB Ground Stations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airquality.cpcb.gov.in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PM2.5, PM10, all criteria pollutants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MODIS / VIIRS Fire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NASA FIRMS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 radiative power, fire counts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ERA5 / IMDAA / MERRA-2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Copernicus CDS / NCMRWF / NASA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Wind, T, RH, PBL height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Note: Temporal co-registration, spatial resampling, and quality-flag filtering will be applied uniformly before any modelling step.</w:t>
      </w:r>
    </w:p>
    <w:p>
      <w:pPr>
        <w:spacing w:after="240" w:before="0"/>
      </w:pPr>
    </w:p>
    <w:p>
      <w:pPr>
        <w:pStyle w:val="Heading1"/>
      </w:pPr>
      <w:r>
        <w:rPr>
          <w:rFonts w:ascii="Arial" w:cs="Arial" w:eastAsia="Arial" w:hAnsi="Arial"/>
        </w:rPr>
        <w:t xml:space="preserve">3. Strategy Plan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Phase 1 — Data Acquisition &amp; Preprocessing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Weeks 1–3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All input datasets are downloaded, harmonised, and split into training / validation / test sets by region and season. Key preprocessing steps: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Download INSAT-3D Level-2 AOD from MOSDAC, TROPOMI Level-3 daily composites from GEE/DLR, and CPCB hourly surface observations.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Temporal alignment: regrid all products to daily means on a common 0.1° × 0.1° grid (native TROPOMI ~5.5 km) using xarray.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Cloud masking and QA filtering: remove pixels with cloud fraction &gt; 0.3 and TROPOMI QA &lt; 0.75.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Derive meteorological predictors from ERA5/IMDAA: 10-m wind speed/direction, 2-m temperature, relative humidity, PBLH, and total precipitation.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Train / validation / test split: 70 / 15 / 15 by geographic region to prevent spatial leakage.</w:t>
      </w:r>
    </w:p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DCF7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2E8A"/>
                <w:sz w:val="24"/>
                <w:szCs w:val="24"/>
              </w:rPr>
              <w:t xml:space="preserve">Phase 2 — Surface AQI Modelling (Objective 1)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DCF7" w:val="clear"/>
            <w:tcMar>
              <w:top w:type="dxa" w:w="80"/>
              <w:left w:type="dxa" w:w="120"/>
              <w:bottom w:type="dxa" w:w="8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B2E8A"/>
                <w:sz w:val="18"/>
                <w:szCs w:val="18"/>
              </w:rPr>
              <w:t xml:space="preserve">Weeks 4–9</w:t>
            </w:r>
          </w:p>
        </w:tc>
      </w:tr>
    </w:tbl>
    <w:p>
      <w:pPr>
        <w:spacing w:after="120" w:before="0"/>
      </w:pPr>
    </w:p>
    <w:p>
      <w:pPr>
        <w:pStyle w:val="Heading3"/>
      </w:pPr>
      <w:r>
        <w:rPr>
          <w:rFonts w:ascii="Arial" w:cs="Arial" w:eastAsia="Arial" w:hAnsi="Arial"/>
        </w:rPr>
        <w:t xml:space="preserve">Model Architecture: CNN-LSTM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hybrid CNN-LSTM model combines spatial pattern extraction (CNN) with temporal dependency modelling (LSTM). The architecture is designed as follows: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Input: A spatial patch of columnar satellite retrievals (AOD, NO2, SO2, CO, O3) centred on each CPCB station, plus collocated meteorological predictors. Input shape: (time_steps × H × W × channels).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CNN block: 2D convolutional layers extract spatially coherent pollution patterns from the satellite patch at each time step. Batch normalisation and ReLU activation.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LSTM block: The CNN spatial embeddings are passed as a sequence into an LSTM network to learn multi-day temporal evolution of the pollution episode.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Output: Predicted surface concentrations of PM2.5, NO2, SO2, CO, and O3, which are then converted to national NAQI (CPCB) AQI sub-indices and an overall AQI value.</w:t>
      </w:r>
    </w:p>
    <w:p>
      <w:pPr>
        <w:spacing w:after="80" w:before="0"/>
      </w:pPr>
    </w:p>
    <w:p>
      <w:pPr>
        <w:pStyle w:val="Heading3"/>
      </w:pPr>
      <w:r>
        <w:rPr>
          <w:rFonts w:ascii="Arial" w:cs="Arial" w:eastAsia="Arial" w:hAnsi="Arial"/>
        </w:rPr>
        <w:t xml:space="preserve">Training Strategy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Transfer learning: pre-train on high-density monitoring regions (NCR, Mumbai, Pune), then fine-tune on sparse regions.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Regularisation: dropout (p = 0.3), L2 weight decay, early stopping on validation RMSE.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Hyperparameter tuning: learning rate, number of LSTM units, CNN filter count via Bayesian optimisation.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Retraining cadence: monthly update with new CPCB observations to account for seasonal AOD–PM2.5 relationship drift.</w:t>
      </w:r>
    </w:p>
    <w:p>
      <w:pPr>
        <w:spacing w:after="80" w:before="0"/>
      </w:pPr>
    </w:p>
    <w:p>
      <w:pPr>
        <w:pStyle w:val="Heading3"/>
      </w:pPr>
      <w:r>
        <w:rPr>
          <w:rFonts w:ascii="Arial" w:cs="Arial" w:eastAsia="Arial" w:hAnsi="Arial"/>
        </w:rPr>
        <w:t xml:space="preserve">Validation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Predicted surface concentrations are validated against held-out CPCB stations using RMSE, MAE, Pearson R, bias, and Index of Agreement (IOA). AQI category accuracy is reported via a confusion matrix across six NAQI categories (Good, Satisfactory, Moderate, Poor, Very Poor, Severe).</w:t>
      </w:r>
    </w:p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3B8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A"/>
                <w:sz w:val="24"/>
                <w:szCs w:val="24"/>
              </w:rPr>
              <w:t xml:space="preserve">Phase 3 — HCHO Hotspot Analysis (Objective 2)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3B8" w:val="clear"/>
            <w:tcMar>
              <w:top w:type="dxa" w:w="80"/>
              <w:left w:type="dxa" w:w="120"/>
              <w:bottom w:type="dxa" w:w="8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7B4F0A"/>
                <w:sz w:val="18"/>
                <w:szCs w:val="18"/>
              </w:rPr>
              <w:t xml:space="preserve">Weeks 6–11</w:t>
            </w:r>
          </w:p>
        </w:tc>
      </w:tr>
    </w:tbl>
    <w:p>
      <w:pPr>
        <w:spacing w:after="120" w:before="0"/>
      </w:pPr>
    </w:p>
    <w:p>
      <w:pPr>
        <w:pStyle w:val="Heading3"/>
      </w:pPr>
      <w:r>
        <w:rPr>
          <w:rFonts w:ascii="Arial" w:cs="Arial" w:eastAsia="Arial" w:hAnsi="Arial"/>
        </w:rPr>
        <w:t xml:space="preserve">Biomass Burning Period Extraction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Extract daily MODIS/VIIRS fire radiative power (FRP) and fire count composites over India.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Define biomass burning seasons: Kharif residue burning (October–November, Punjab/Haryana); Rabi burning (April–May); and forest fire season (March–May, Central/Northeast India).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Composite daily TROPOMI HCHO columns for fire and non-fire periods separately to isolate the fire signal.</w:t>
      </w:r>
    </w:p>
    <w:p>
      <w:pPr>
        <w:spacing w:after="100" w:before="0"/>
      </w:pPr>
    </w:p>
    <w:p>
      <w:pPr>
        <w:pStyle w:val="Heading3"/>
      </w:pPr>
      <w:r>
        <w:rPr>
          <w:rFonts w:ascii="Arial" w:cs="Arial" w:eastAsia="Arial" w:hAnsi="Arial"/>
        </w:rPr>
        <w:t xml:space="preserve">Hotspot Detection Methods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Statistical threshold: flag pixels exceeding the 90th and 95th percentile of the multi-year HCHO climatology over India as hotspots.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Spatial clustering: apply DBSCAN to group nearby elevated pixels into persistent hotspot regions, parameterised by epsilon = 50 km and min-samples = 5.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Temporal persistence: retain hotspots active for &gt;= 3 consecutive days to exclude transient noise.</w:t>
      </w:r>
    </w:p>
    <w:p>
      <w:pPr>
        <w:spacing w:after="100" w:before="0"/>
      </w:pPr>
    </w:p>
    <w:p>
      <w:pPr>
        <w:pStyle w:val="Heading3"/>
      </w:pPr>
      <w:r>
        <w:rPr>
          <w:rFonts w:ascii="Arial" w:cs="Arial" w:eastAsia="Arial" w:hAnsi="Arial"/>
        </w:rPr>
        <w:t xml:space="preserve">Fire–HCHO Correlation &amp; Transport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Compute Pearson and Spearman correlations between area-averaged FRP and HCHO column within identified hotspot regions, with 0–5 day lag analysis.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Use ERA5 850 hPa wind vectors to diagnose dominant transport pathways from source regions.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Apply NOAA HYSPLIT back-trajectory model to confirm receptor-source linkages (IGP transport to Indo-Gangetic cities, trans-boundary plumes).</w:t>
      </w:r>
    </w:p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DC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11"/>
                <w:sz w:val="24"/>
                <w:szCs w:val="24"/>
              </w:rPr>
              <w:t xml:space="preserve">Phase 4 — Validation, Visualisation &amp; Dissemination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DCA" w:val="clear"/>
            <w:tcMar>
              <w:top w:type="dxa" w:w="80"/>
              <w:left w:type="dxa" w:w="120"/>
              <w:bottom w:type="dxa" w:w="8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D5A11"/>
                <w:sz w:val="18"/>
                <w:szCs w:val="18"/>
              </w:rPr>
              <w:t xml:space="preserve">Weeks 10–13</w:t>
            </w:r>
          </w:p>
        </w:tc>
      </w:tr>
    </w:tbl>
    <w:p>
      <w:pPr>
        <w:spacing w:after="120" w:before="0"/>
      </w:pPr>
    </w:p>
    <w:p>
      <w:pPr>
        <w:pStyle w:val="Heading3"/>
      </w:pPr>
      <w:r>
        <w:rPr>
          <w:rFonts w:ascii="Arial" w:cs="Arial" w:eastAsia="Arial" w:hAnsi="Arial"/>
        </w:rPr>
        <w:t xml:space="preserve">Spatial Maps and Visualisation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Daily and seasonal-mean surface AQI maps of India at 0.1° resolution, colour-coded by NAQI category, using Cartopy/Matplotlib.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Multi-year climatological and anomaly HCHO hotspot maps for each burning season.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Interactive web maps using Folium for stakeholder dissemination.</w:t>
      </w:r>
    </w:p>
    <w:p>
      <w:pPr>
        <w:spacing w:after="100" w:before="0"/>
      </w:pPr>
    </w:p>
    <w:p>
      <w:pPr>
        <w:pStyle w:val="Heading3"/>
      </w:pPr>
      <w:r>
        <w:rPr>
          <w:rFonts w:ascii="Arial" w:cs="Arial" w:eastAsia="Arial" w:hAnsi="Arial"/>
        </w:rPr>
        <w:t xml:space="preserve">Key Deliverables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Technical report with methodology, results, and validation statistics.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GIS shapefile/NetCDF data package of AQI and HCHO products.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Peer-reviewed journal manuscript (suggested: Atmospheric Environment, Remote Sensing of Environment).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Presentation for NCAP/ISRO review committee.</w:t>
      </w:r>
    </w:p>
    <w:p>
      <w:pPr>
        <w:spacing w:after="240" w:before="0"/>
      </w:pPr>
    </w:p>
    <w:p>
      <w:pPr>
        <w:pStyle w:val="Heading1"/>
      </w:pPr>
      <w:r>
        <w:rPr>
          <w:rFonts w:ascii="Arial" w:cs="Arial" w:eastAsia="Arial" w:hAnsi="Arial"/>
        </w:rPr>
        <w:t xml:space="preserve">4. Technology Stack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3D3A"/>
                <w:sz w:val="20"/>
                <w:szCs w:val="20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3D3A"/>
                <w:sz w:val="20"/>
                <w:szCs w:val="20"/>
              </w:rPr>
              <w:t xml:space="preserve">Tools / Libraries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access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Earth Engine · MOSDAC · CPCB API · FIRMS · Copernicus CDS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Processing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· xarray · netCDF4 · NumPy · Pandas · SciPy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Deep learning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TensorFlow / PyTorch · CNN-LSTM architecture · scikit-learn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Visualisation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Matplotlib · Cartopy · GeoPandas · Folium · Plotly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Transport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HYSPLIT back-trajectory model · ERA5 wind fields</w:t>
            </w:r>
          </w:p>
        </w:tc>
      </w:tr>
    </w:tbl>
    <w:p>
      <w:pPr>
        <w:spacing w:after="240" w:before="0"/>
      </w:pPr>
    </w:p>
    <w:p>
      <w:pPr>
        <w:pStyle w:val="Heading1"/>
      </w:pPr>
      <w:r>
        <w:rPr>
          <w:rFonts w:ascii="Arial" w:cs="Arial" w:eastAsia="Arial" w:hAnsi="Arial"/>
        </w:rPr>
        <w:t xml:space="preserve">5. Evaluation Criteria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D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B2E8A"/>
                <w:sz w:val="20"/>
                <w:szCs w:val="20"/>
              </w:rPr>
              <w:t xml:space="preserve">Objective 1 — AQI Model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3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4F0A"/>
                <w:sz w:val="20"/>
                <w:szCs w:val="20"/>
              </w:rPr>
              <w:t xml:space="preserve">Objective 2 — HCHO Hotspots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RMSE and MAE per pollutant species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Hotspot detection accuracy and recall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Pearson R vs CPCB observations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Fire–HCHO correlation (r, p-value, lag)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Spatial bias and error maps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 region identification vs literature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AQI category accuracy (confusion matrix)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Visualisation quality — spatial maps, time series</w:t>
            </w:r>
          </w:p>
        </w:tc>
      </w:tr>
    </w:tbl>
    <w:p>
      <w:pPr>
        <w:spacing w:after="200" w:before="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Note: For AQI classification, India's National AQI (NAQI) breakpoints as defined by CPCB are used — not the US EPA AQI standard.</w:t>
      </w:r>
    </w:p>
    <w:p>
      <w:pPr>
        <w:spacing w:after="240" w:before="0"/>
      </w:pPr>
    </w:p>
    <w:p>
      <w:pPr>
        <w:pStyle w:val="Heading1"/>
      </w:pPr>
      <w:r>
        <w:rPr>
          <w:rFonts w:ascii="Arial" w:cs="Arial" w:eastAsia="Arial" w:hAnsi="Arial"/>
        </w:rPr>
        <w:t xml:space="preserve">6. Project Timeline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3D3A"/>
                <w:sz w:val="16"/>
                <w:szCs w:val="16"/>
              </w:rPr>
              <w:t xml:space="preserve">W1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3D3A"/>
                <w:sz w:val="16"/>
                <w:szCs w:val="16"/>
              </w:rPr>
              <w:t xml:space="preserve">W2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3D3A"/>
                <w:sz w:val="16"/>
                <w:szCs w:val="16"/>
              </w:rPr>
              <w:t xml:space="preserve">W3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3D3A"/>
                <w:sz w:val="16"/>
                <w:szCs w:val="16"/>
              </w:rPr>
              <w:t xml:space="preserve">W4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3D3A"/>
                <w:sz w:val="16"/>
                <w:szCs w:val="16"/>
              </w:rPr>
              <w:t xml:space="preserve">W5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3D3A"/>
                <w:sz w:val="16"/>
                <w:szCs w:val="16"/>
              </w:rPr>
              <w:t xml:space="preserve">W6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3D3A"/>
                <w:sz w:val="16"/>
                <w:szCs w:val="16"/>
              </w:rPr>
              <w:t xml:space="preserve">W7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3D3A"/>
                <w:sz w:val="16"/>
                <w:szCs w:val="16"/>
              </w:rPr>
              <w:t xml:space="preserve">W8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3D3A"/>
                <w:sz w:val="16"/>
                <w:szCs w:val="16"/>
              </w:rPr>
              <w:t xml:space="preserve">W9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3D3A"/>
                <w:sz w:val="16"/>
                <w:szCs w:val="16"/>
              </w:rPr>
              <w:t xml:space="preserve">W10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3D3A"/>
                <w:sz w:val="16"/>
                <w:szCs w:val="16"/>
              </w:rPr>
              <w:t xml:space="preserve">W11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3D3A"/>
                <w:sz w:val="16"/>
                <w:szCs w:val="16"/>
              </w:rPr>
              <w:t xml:space="preserve">W12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3D3A"/>
                <w:sz w:val="16"/>
                <w:szCs w:val="16"/>
              </w:rPr>
              <w:t xml:space="preserve">W13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Phase 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DC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2E8A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DC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2E8A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DC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2E8A"/>
                <w:sz w:val="16"/>
                <w:szCs w:val="16"/>
              </w:rPr>
              <w:t xml:space="preserve">Phase 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DC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2E8A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DC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2E8A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DC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2E8A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3B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A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3B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A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3B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A"/>
                <w:sz w:val="16"/>
                <w:szCs w:val="16"/>
              </w:rPr>
              <w:t xml:space="preserve">Phase 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3B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A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3B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A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3B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A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DCA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A11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DCA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A11"/>
                <w:sz w:val="16"/>
                <w:szCs w:val="16"/>
              </w:rPr>
              <w:t xml:space="preserve">Phase 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DCA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A11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DCA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A11"/>
                <w:sz w:val="16"/>
                <w:szCs w:val="16"/>
              </w:rPr>
              <w:t xml:space="preserve"/>
            </w:r>
          </w:p>
        </w:tc>
      </w:tr>
    </w:tbl>
    <w:p>
      <w:pPr>
        <w:spacing w:after="100" w:before="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Phases 2 and 3 run in parallel from Week 6 onward. Phase 4 consolidates outputs from both objectives from Week 10.</w:t>
      </w:r>
    </w:p>
    <w:p>
      <w:pPr>
        <w:spacing w:after="240" w:before="0"/>
      </w:pPr>
    </w:p>
    <w:p>
      <w:pPr>
        <w:pStyle w:val="Heading1"/>
      </w:pPr>
      <w:r>
        <w:rPr>
          <w:rFonts w:ascii="Arial" w:cs="Arial" w:eastAsia="Arial" w:hAnsi="Arial"/>
        </w:rPr>
        <w:t xml:space="preserve">7. Key Technical Decisions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following design decisions should be locked in at project start to avoid rework: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3D3A"/>
                <w:sz w:val="20"/>
                <w:szCs w:val="20"/>
              </w:rPr>
              <w:t xml:space="preserve">Decision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3D3A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AQI standard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India NAQI (CPCB) breakpoints — 6 categories from Good to Severe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Spatial grid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0.1° × 0.1° common grid; TROPOMI native ~5.5 km resampled to this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HCHO hotspot threshold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95th percentile of multi-year HCHO climatology over India domain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Model retraining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Monthly, given seasonal drift in AOD–PM2.5 relationship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Cloud masking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Exclude pixels with cloud fraction &gt; 0.3 and TROPOMI QA flag &lt; 0.75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Burning seasons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Kharif: Oct–Nov; Rabi: Apr–May; Forest fires: Mar–May (Central/NE India)</w:t>
            </w:r>
          </w:p>
        </w:tc>
      </w:tr>
    </w:tbl>
    <w:p>
      <w:pPr>
        <w:spacing w:after="240" w:before="0"/>
      </w:pPr>
    </w:p>
    <w:p>
      <w:pPr>
        <w:pStyle w:val="Heading1"/>
      </w:pPr>
      <w:r>
        <w:rPr>
          <w:rFonts w:ascii="Arial" w:cs="Arial" w:eastAsia="Arial" w:hAnsi="Arial"/>
        </w:rPr>
        <w:t xml:space="preserve">8. National &amp; ISRO Priority Alignment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National Clean Air Programme (NCAP): supports the 20–40% pollution reduction target in non-attainment cities through enhanced spatial AQI coverage.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SDG 11.6: addresses reduction of adverse environmental effects in cities through satellite-derived air quality monitoring.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Chintan Shivir 2.0: aligned with urban climate, air quality, and sustainable development targets.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ISRO mandate: demonstrates operational use of INSAT-3D and TROPOMI for societal applications in health and environment.</w:t>
      </w:r>
    </w:p>
    <w:p>
      <w:pPr>
        <w:spacing w:after="80" w:before="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6" w:space="1"/>
      </w:pBdr>
      <w:tabs>
        <w:tab w:val="right" w:pos="9360"/>
      </w:tabs>
      <w:spacing w:before="120"/>
    </w:pPr>
    <w:r>
      <w:rPr>
        <w:rFonts w:ascii="Arial" w:cs="Arial" w:eastAsia="Arial" w:hAnsi="Arial"/>
        <w:color w:val="3D3D3A"/>
        <w:sz w:val="16"/>
        <w:szCs w:val="16"/>
      </w:rPr>
      <w:t xml:space="preserve">ISRO / SAC Collaboration</w:t>
    </w:r>
    <w:r>
      <w:rPr>
        <w:rFonts w:ascii="Arial" w:cs="Arial" w:eastAsia="Arial" w:hAnsi="Arial"/>
        <w:color w:val="3D3D3A"/>
        <w:sz w:val="16"/>
        <w:szCs w:val="16"/>
      </w:rPr>
      <w:t xml:space="preserve">	Page </w:t>
    </w:r>
    <w:r>
      <w:rPr>
        <w:rFonts w:ascii="Arial" w:cs="Arial" w:eastAsia="Arial" w:hAnsi="Arial"/>
        <w:color w:val="3D3D3A"/>
        <w:sz w:val="16"/>
        <w:szCs w:val="16"/>
      </w:rPr>
      <w:t xml:space="preserve">PAGE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  <w:spacing w:after="120"/>
    </w:pPr>
    <w:r>
      <w:rPr>
        <w:rFonts w:ascii="Arial" w:cs="Arial" w:eastAsia="Arial" w:hAnsi="Arial"/>
        <w:color w:val="3D3D3A"/>
        <w:sz w:val="18"/>
        <w:szCs w:val="18"/>
      </w:rPr>
      <w:t xml:space="preserve">Project Strategy Plan — Surface AQI &amp; HCHO Hotspot Detection over India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D3D3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D3D3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2026-06-22T08:01:32.643Z</dcterms:created>
  <dcterms:modified xsi:type="dcterms:W3CDTF">2026-06-22T08:01:32.644Z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