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before="1200"/>
        <w:jc w:val="center"/>
      </w:pPr>
      <w:r>
        <w:drawing>
          <wp:inline distT="0" distB="0" distL="0" distR="0">
            <wp:extent cx="2571750" cy="809625"/>
            <wp:effectExtent t="0" r="0" b="0" l="0"/>
            <wp:docPr id="1" name="logo" descr="ITM Skills University logo" title="ITM Skills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71750" cy="809625"/>
                    </a:xfrm>
                    <a:prstGeom prst="rect">
                      <a:avLst/>
                    </a:prstGeom>
                  </pic:spPr>
                </pic:pic>
              </a:graphicData>
            </a:graphic>
          </wp:inline>
        </w:drawing>
      </w:r>
    </w:p>
    <w:p>
      <w:pPr>
        <w:spacing w:after="700" w:before="500"/>
        <w:jc w:val="center"/>
      </w:pPr>
      <w:r>
        <w:rPr>
          <w:rFonts w:ascii="Arial" w:cs="Arial" w:eastAsia="Arial" w:hAnsi="Arial"/>
          <w:b/>
          <w:bCs/>
          <w:sz w:val="44"/>
          <w:szCs w:val="44"/>
        </w:rPr>
        <w:t xml:space="preserve">School of Future Tech</w:t>
      </w:r>
    </w:p>
    <w:p>
      <w:pPr>
        <w:spacing w:after="500"/>
        <w:jc w:val="center"/>
      </w:pPr>
      <w:r>
        <w:rPr>
          <w:rFonts w:ascii="Arial" w:cs="Arial" w:eastAsia="Arial" w:hAnsi="Arial"/>
          <w:b/>
          <w:bCs/>
          <w:sz w:val="44"/>
          <w:szCs w:val="44"/>
        </w:rPr>
        <w:t xml:space="preserve">Case Study Report</w:t>
      </w:r>
    </w:p>
    <w:p>
      <w:pPr>
        <w:spacing w:after="400"/>
        <w:jc w:val="center"/>
      </w:pPr>
      <w:r>
        <w:rPr>
          <w:rFonts w:ascii="Arial" w:cs="Arial" w:eastAsia="Arial" w:hAnsi="Arial"/>
          <w:sz w:val="30"/>
          <w:szCs w:val="30"/>
        </w:rPr>
        <w:t xml:space="preserve">on</w:t>
      </w:r>
    </w:p>
    <w:p>
      <w:pPr>
        <w:spacing w:after="150"/>
        <w:jc w:val="center"/>
      </w:pPr>
      <w:r>
        <w:rPr>
          <w:rFonts w:ascii="Arial" w:cs="Arial" w:eastAsia="Arial" w:hAnsi="Arial"/>
          <w:b/>
          <w:bCs/>
          <w:sz w:val="30"/>
          <w:szCs w:val="30"/>
        </w:rPr>
        <w:t xml:space="preserve">Case Study 19: Reusable Moving Boxes</w:t>
      </w:r>
    </w:p>
    <w:p>
      <w:pPr>
        <w:spacing w:after="250"/>
        <w:jc w:val="center"/>
      </w:pPr>
      <w:r>
        <w:rPr>
          <w:rFonts w:ascii="Arial" w:cs="Arial" w:eastAsia="Arial" w:hAnsi="Arial"/>
          <w:b/>
          <w:bCs/>
          <w:sz w:val="26"/>
          <w:szCs w:val="26"/>
        </w:rPr>
        <w:t xml:space="preserve">MoveLoop: Circular Logistics – Rental Model</w:t>
      </w:r>
    </w:p>
    <w:p>
      <w:pPr>
        <w:spacing w:after="400"/>
        <w:jc w:val="center"/>
      </w:pPr>
      <w:r>
        <w:rPr>
          <w:rFonts w:ascii="Arial" w:cs="Arial" w:eastAsia="Arial" w:hAnsi="Arial"/>
          <w:sz w:val="26"/>
          <w:szCs w:val="26"/>
        </w:rPr>
        <w:t xml:space="preserve">by</w:t>
      </w:r>
    </w:p>
    <w:p>
      <w:pPr>
        <w:spacing w:after="100"/>
        <w:jc w:val="center"/>
      </w:pPr>
      <w:r>
        <w:rPr>
          <w:rFonts w:ascii="Arial" w:cs="Arial" w:eastAsia="Arial" w:hAnsi="Arial"/>
          <w:b/>
          <w:bCs/>
          <w:sz w:val="24"/>
          <w:szCs w:val="24"/>
        </w:rPr>
        <w:t xml:space="preserve">Aaryan Keni</w:t>
      </w:r>
    </w:p>
    <w:p>
      <w:pPr>
        <w:spacing w:after="700"/>
        <w:jc w:val="center"/>
      </w:pPr>
      <w:r>
        <w:rPr>
          <w:rFonts w:ascii="Arial" w:cs="Arial" w:eastAsia="Arial" w:hAnsi="Arial"/>
          <w:sz w:val="24"/>
          <w:szCs w:val="24"/>
        </w:rPr>
        <w:t xml:space="preserve">150096725197</w:t>
      </w:r>
    </w:p>
    <w:p>
      <w:pPr>
        <w:spacing w:after="60"/>
        <w:jc w:val="center"/>
      </w:pPr>
      <w:r>
        <w:rPr>
          <w:rFonts w:ascii="Arial" w:cs="Arial" w:eastAsia="Arial" w:hAnsi="Arial"/>
          <w:color w:val="555555"/>
          <w:sz w:val="20"/>
          <w:szCs w:val="20"/>
        </w:rPr>
        <w:t xml:space="preserve">B.Tech CSE 2025-29  |  Go-to-Market &amp; Customer Operations</w:t>
      </w:r>
    </w:p>
    <w:p>
      <w:pPr>
        <w:jc w:val="center"/>
      </w:pPr>
      <w:r>
        <w:rPr>
          <w:rFonts w:ascii="Arial" w:cs="Arial" w:eastAsia="Arial" w:hAnsi="Arial"/>
          <w:color w:val="555555"/>
          <w:sz w:val="20"/>
          <w:szCs w:val="20"/>
        </w:rPr>
        <w:t xml:space="preserve">Semester III : Sprint I</w:t>
      </w:r>
    </w:p>
    <w:p>
      <w:r>
        <w:br w:type="page"/>
      </w:r>
    </w:p>
    <w:p>
      <w:pPr>
        <w:pStyle w:val="Heading1"/>
        <w:keepNext/>
      </w:pPr>
      <w:r>
        <w:rPr>
          <w:rFonts w:ascii="Arial" w:cs="Arial" w:eastAsia="Arial" w:hAnsi="Arial"/>
        </w:rPr>
        <w:t xml:space="preserve">Index</w:t>
      </w:r>
    </w:p>
    <w:p>
      <w:pPr>
        <w:spacing w:after="140" w:before="0" w:line="276"/>
        <w:jc w:val="left"/>
      </w:pPr>
      <w:r>
        <w:rPr>
          <w:rFonts w:ascii="Arial" w:cs="Arial" w:eastAsia="Arial" w:hAnsi="Arial"/>
          <w:b w:val="false"/>
          <w:bCs w:val="false"/>
          <w:i w:val="false"/>
          <w:iCs w:val="false"/>
        </w:rPr>
        <w:t xml:space="preserve">1. Introduction to the Case Study.</w:t>
      </w:r>
    </w:p>
    <w:p>
      <w:pPr>
        <w:spacing w:after="140" w:before="0" w:line="276"/>
        <w:jc w:val="left"/>
      </w:pPr>
      <w:r>
        <w:rPr>
          <w:rFonts w:ascii="Arial" w:cs="Arial" w:eastAsia="Arial" w:hAnsi="Arial"/>
          <w:b w:val="false"/>
          <w:bCs w:val="false"/>
          <w:i w:val="false"/>
          <w:iCs w:val="false"/>
        </w:rPr>
        <w:t xml:space="preserve">2. Problem Statement / Case Background (Abstract).</w:t>
      </w:r>
    </w:p>
    <w:p>
      <w:pPr>
        <w:spacing w:after="140" w:before="0" w:line="276"/>
        <w:jc w:val="left"/>
      </w:pPr>
      <w:r>
        <w:rPr>
          <w:rFonts w:ascii="Arial" w:cs="Arial" w:eastAsia="Arial" w:hAnsi="Arial"/>
          <w:b w:val="false"/>
          <w:bCs w:val="false"/>
          <w:i w:val="false"/>
          <w:iCs w:val="false"/>
        </w:rPr>
        <w:t xml:space="preserve">3. Case Study Design.</w:t>
      </w:r>
    </w:p>
    <w:p>
      <w:pPr>
        <w:spacing w:after="140" w:before="0" w:line="276"/>
        <w:jc w:val="left"/>
      </w:pPr>
      <w:r>
        <w:rPr>
          <w:rFonts w:ascii="Arial" w:cs="Arial" w:eastAsia="Arial" w:hAnsi="Arial"/>
          <w:b w:val="false"/>
          <w:bCs w:val="false"/>
          <w:i w:val="false"/>
          <w:iCs w:val="false"/>
        </w:rPr>
        <w:t xml:space="preserve">4. Methods, Frameworks &amp; Tools Applied in the Case Study.</w:t>
      </w:r>
    </w:p>
    <w:p>
      <w:pPr>
        <w:spacing w:after="140" w:before="0" w:line="276"/>
        <w:jc w:val="left"/>
      </w:pPr>
      <w:r>
        <w:rPr>
          <w:rFonts w:ascii="Arial" w:cs="Arial" w:eastAsia="Arial" w:hAnsi="Arial"/>
          <w:b w:val="false"/>
          <w:bCs w:val="false"/>
          <w:i w:val="false"/>
          <w:iCs w:val="false"/>
        </w:rPr>
        <w:t xml:space="preserve">5. Case Study Implementation Details and Snapshots.</w:t>
      </w:r>
    </w:p>
    <w:p>
      <w:pPr>
        <w:spacing w:after="140" w:before="0" w:line="276"/>
        <w:jc w:val="left"/>
      </w:pPr>
      <w:r>
        <w:rPr>
          <w:rFonts w:ascii="Arial" w:cs="Arial" w:eastAsia="Arial" w:hAnsi="Arial"/>
          <w:b w:val="false"/>
          <w:bCs w:val="false"/>
          <w:i w:val="false"/>
          <w:iCs w:val="false"/>
        </w:rPr>
        <w:t xml:space="preserve">6. Case Study Results and Conclusion.</w:t>
      </w:r>
    </w:p>
    <w:p>
      <w:pPr>
        <w:spacing w:after="140" w:before="0" w:line="276"/>
        <w:jc w:val="left"/>
      </w:pPr>
      <w:r>
        <w:rPr>
          <w:rFonts w:ascii="Arial" w:cs="Arial" w:eastAsia="Arial" w:hAnsi="Arial"/>
          <w:b w:val="false"/>
          <w:bCs w:val="false"/>
          <w:i w:val="false"/>
          <w:iCs w:val="false"/>
        </w:rPr>
        <w:t xml:space="preserve">7. References</w:t>
      </w:r>
    </w:p>
    <w:p>
      <w:r>
        <w:br w:type="page"/>
      </w:r>
    </w:p>
    <w:p>
      <w:pPr>
        <w:pStyle w:val="Heading1"/>
        <w:keepNext/>
      </w:pPr>
      <w:r>
        <w:rPr>
          <w:rFonts w:ascii="Arial" w:cs="Arial" w:eastAsia="Arial" w:hAnsi="Arial"/>
        </w:rPr>
        <w:t xml:space="preserve">1. Introduction to the Case Study</w:t>
      </w:r>
    </w:p>
    <w:p>
      <w:pPr>
        <w:spacing w:after="110" w:before="0" w:line="276"/>
        <w:jc w:val="left"/>
      </w:pPr>
      <w:r>
        <w:rPr>
          <w:rFonts w:ascii="Arial" w:cs="Arial" w:eastAsia="Arial" w:hAnsi="Arial"/>
          <w:b w:val="false"/>
          <w:bCs w:val="false"/>
          <w:i w:val="false"/>
          <w:iCs w:val="false"/>
        </w:rPr>
        <w:t xml:space="preserve">People who move between rented apartments usually buy or collect cardboard boxes that are used once and thrown away. MoveLoop is a proposed service that rents durable plastic moving boxes for </w:t>
      </w:r>
      <w:r>
        <w:rPr>
          <w:rFonts w:ascii="Arial" w:cs="Arial" w:eastAsia="Arial" w:hAnsi="Arial"/>
          <w:b/>
          <w:bCs/>
          <w:i w:val="false"/>
          <w:iCs w:val="false"/>
        </w:rPr>
        <w:t xml:space="preserve">₹35 per box for seven days</w:t>
      </w:r>
      <w:r>
        <w:rPr>
          <w:rFonts w:ascii="Arial" w:cs="Arial" w:eastAsia="Arial" w:hAnsi="Arial"/>
          <w:b w:val="false"/>
          <w:bCs w:val="false"/>
          <w:i w:val="false"/>
          <w:iCs w:val="false"/>
        </w:rPr>
        <w:t xml:space="preserve">. Each box costs </w:t>
      </w:r>
      <w:r>
        <w:rPr>
          <w:rFonts w:ascii="Arial" w:cs="Arial" w:eastAsia="Arial" w:hAnsi="Arial"/>
          <w:b/>
          <w:bCs/>
          <w:i w:val="false"/>
          <w:iCs w:val="false"/>
        </w:rPr>
        <w:t xml:space="preserve">₹420</w:t>
      </w:r>
      <w:r>
        <w:rPr>
          <w:rFonts w:ascii="Arial" w:cs="Arial" w:eastAsia="Arial" w:hAnsi="Arial"/>
          <w:b w:val="false"/>
          <w:bCs w:val="false"/>
          <w:i w:val="false"/>
          <w:iCs w:val="false"/>
        </w:rPr>
        <w:t xml:space="preserve"> and is expected to survive </w:t>
      </w:r>
      <w:r>
        <w:rPr>
          <w:rFonts w:ascii="Arial" w:cs="Arial" w:eastAsia="Arial" w:hAnsi="Arial"/>
          <w:b/>
          <w:bCs/>
          <w:i w:val="false"/>
          <w:iCs w:val="false"/>
        </w:rPr>
        <w:t xml:space="preserve">at least 30 rental cycles</w:t>
      </w:r>
      <w:r>
        <w:rPr>
          <w:rFonts w:ascii="Arial" w:cs="Arial" w:eastAsia="Arial" w:hAnsi="Arial"/>
          <w:b w:val="false"/>
          <w:bCs w:val="false"/>
          <w:i w:val="false"/>
          <w:iCs w:val="false"/>
        </w:rPr>
        <w:t xml:space="preserve">, so one box can earn many rentals before it is retired and recycled. The company must design deposits, pickup and return logistics inside a </w:t>
      </w:r>
      <w:r>
        <w:rPr>
          <w:rFonts w:ascii="Arial" w:cs="Arial" w:eastAsia="Arial" w:hAnsi="Arial"/>
          <w:b/>
          <w:bCs/>
          <w:i w:val="false"/>
          <w:iCs w:val="false"/>
        </w:rPr>
        <w:t xml:space="preserve">5-kilometre service area</w:t>
      </w:r>
      <w:r>
        <w:rPr>
          <w:rFonts w:ascii="Arial" w:cs="Arial" w:eastAsia="Arial" w:hAnsi="Arial"/>
          <w:b w:val="false"/>
          <w:bCs w:val="false"/>
          <w:i w:val="false"/>
          <w:iCs w:val="false"/>
        </w:rPr>
        <w:t xml:space="preserve">.</w:t>
      </w:r>
    </w:p>
    <w:p>
      <w:pPr>
        <w:spacing w:after="110" w:before="0" w:line="276"/>
        <w:jc w:val="left"/>
      </w:pPr>
      <w:r>
        <w:rPr>
          <w:rFonts w:ascii="Arial" w:cs="Arial" w:eastAsia="Arial" w:hAnsi="Arial"/>
          <w:b w:val="false"/>
          <w:bCs w:val="false"/>
          <w:i w:val="false"/>
          <w:iCs w:val="false"/>
        </w:rPr>
        <w:t xml:space="preserve">This case study applies Go-to-Market and Customer Operations thinking to that business: who the customer is, what problem is solved, how the rental and return journey works, how boxes flow through the operation, whether the unit economics work, and how a 90-day pilot can prove it before scaling. Its primary syllabus focus is </w:t>
      </w:r>
      <w:r>
        <w:rPr>
          <w:rFonts w:ascii="Arial" w:cs="Arial" w:eastAsia="Arial" w:hAnsi="Arial"/>
          <w:b/>
          <w:bCs/>
          <w:i w:val="false"/>
          <w:iCs w:val="false"/>
        </w:rPr>
        <w:t xml:space="preserve">circular logistics and the rental model</w:t>
      </w:r>
      <w:r>
        <w:rPr>
          <w:rFonts w:ascii="Arial" w:cs="Arial" w:eastAsia="Arial" w:hAnsi="Arial"/>
          <w:b w:val="false"/>
          <w:bCs w:val="false"/>
          <w:i w:val="false"/>
          <w:iCs w:val="false"/>
        </w:rPr>
        <w:t xml:space="preserve">.</w:t>
      </w:r>
    </w:p>
    <w:p>
      <w:pPr>
        <w:spacing w:after="110" w:before="0" w:line="276"/>
        <w:jc w:val="left"/>
      </w:pPr>
      <w:r>
        <w:rPr>
          <w:rFonts w:ascii="Arial" w:cs="Arial" w:eastAsia="Arial" w:hAnsi="Arial"/>
          <w:b w:val="false"/>
          <w:bCs w:val="false"/>
          <w:i w:val="false"/>
          <w:iCs w:val="false"/>
        </w:rPr>
        <w:t xml:space="preserve">The case study shows how a physical asset (the box) is turned into a repeatable service: booked online, delivered, used for seven days, collected, inspected, cleaned and rented again, with a refundable deposit and QR-code tracking protecting the asset at every step.</w:t>
      </w:r>
    </w:p>
    <w:p>
      <w:pPr>
        <w:pStyle w:val="Heading1"/>
        <w:keepNext/>
      </w:pPr>
      <w:r>
        <w:rPr>
          <w:rFonts w:ascii="Arial" w:cs="Arial" w:eastAsia="Arial" w:hAnsi="Arial"/>
        </w:rPr>
        <w:t xml:space="preserve">2. Problem Statement / Case Background (Abstract)</w:t>
      </w:r>
    </w:p>
    <w:p>
      <w:pPr>
        <w:pStyle w:val="Heading2"/>
        <w:keepNext/>
      </w:pPr>
      <w:r>
        <w:rPr>
          <w:rFonts w:ascii="Arial" w:cs="Arial" w:eastAsia="Arial" w:hAnsi="Arial"/>
        </w:rPr>
        <w:t xml:space="preserve">Background</w:t>
      </w:r>
    </w:p>
    <w:p>
      <w:pPr>
        <w:spacing w:after="110" w:before="0" w:line="276"/>
        <w:jc w:val="left"/>
      </w:pPr>
      <w:r>
        <w:rPr>
          <w:rFonts w:ascii="Arial" w:cs="Arial" w:eastAsia="Arial" w:hAnsi="Arial"/>
          <w:b w:val="false"/>
          <w:bCs w:val="false"/>
          <w:i w:val="false"/>
          <w:iCs w:val="false"/>
        </w:rPr>
        <w:t xml:space="preserve">Renters in cities change homes often. Each move needs roughly 15–30 boxes for a typical flat. Cardboard boxes are cheap to buy but weak, bulky to store, and almost always discarded within days, creating packaging waste and repeated spending. Reusable plastic boxes are stronger and stackable, but a single household would never buy them for one move. A rental model spreads the cost of a durable box across many households.</w:t>
      </w:r>
    </w:p>
    <w:p>
      <w:pPr>
        <w:pStyle w:val="Heading2"/>
        <w:keepNext/>
      </w:pPr>
      <w:r>
        <w:rPr>
          <w:rFonts w:ascii="Arial" w:cs="Arial" w:eastAsia="Arial" w:hAnsi="Arial"/>
        </w:rPr>
        <w:t xml:space="preserve">Problem Statement</w:t>
      </w:r>
    </w:p>
    <w:p>
      <w:pPr>
        <w:spacing w:after="110" w:before="0" w:line="276"/>
        <w:jc w:val="left"/>
      </w:pPr>
      <w:r>
        <w:rPr>
          <w:rFonts w:ascii="Arial" w:cs="Arial" w:eastAsia="Arial" w:hAnsi="Arial"/>
          <w:b w:val="false"/>
          <w:bCs w:val="false"/>
          <w:i w:val="false"/>
          <w:iCs w:val="false"/>
        </w:rPr>
        <w:t xml:space="preserve">Renters moving between apartments must buy or hunt for single-use cardboard boxes that are flimsy, time-consuming to source and expensive to dispose of, generating avoidable packaging waste at every move.</w:t>
      </w:r>
    </w:p>
    <w:p>
      <w:pPr>
        <w:pStyle w:val="Heading2"/>
        <w:keepNext/>
      </w:pPr>
      <w:r>
        <w:rPr>
          <w:rFonts w:ascii="Arial" w:cs="Arial" w:eastAsia="Arial" w:hAnsi="Arial"/>
        </w:rPr>
        <w:t xml:space="preserve">Opportunity Statement</w:t>
      </w:r>
    </w:p>
    <w:p>
      <w:pPr>
        <w:spacing w:after="110" w:before="0" w:line="276"/>
        <w:jc w:val="left"/>
      </w:pPr>
      <w:r>
        <w:rPr>
          <w:rFonts w:ascii="Arial" w:cs="Arial" w:eastAsia="Arial" w:hAnsi="Arial"/>
          <w:b w:val="false"/>
          <w:bCs w:val="false"/>
          <w:i w:val="false"/>
          <w:iCs w:val="false"/>
        </w:rPr>
        <w:t xml:space="preserve">MoveLoop can capture this moment by delivering clean, sturdy, reusable boxes to the door for ₹35 per box per week and collecting them afterwards, turning one ₹420 box into about ₹1,050 of rental revenue over 30 cycles while cutting cardboard waste for every customer.</w:t>
      </w:r>
    </w:p>
    <w:p>
      <w:pPr>
        <w:pStyle w:val="Heading2"/>
        <w:keepNext/>
      </w:pPr>
      <w:r>
        <w:rPr>
          <w:rFonts w:ascii="Arial" w:cs="Arial" w:eastAsia="Arial" w:hAnsi="Arial"/>
        </w:rPr>
        <w:t xml:space="preserve">Abstract</w:t>
      </w:r>
    </w:p>
    <w:p>
      <w:pPr>
        <w:spacing w:after="110" w:before="0" w:line="276"/>
        <w:jc w:val="left"/>
      </w:pPr>
      <w:r>
        <w:rPr>
          <w:rFonts w:ascii="Arial" w:cs="Arial" w:eastAsia="Arial" w:hAnsi="Arial"/>
          <w:b w:val="false"/>
          <w:bCs w:val="false"/>
          <w:i w:val="false"/>
          <w:iCs w:val="false"/>
        </w:rPr>
        <w:t xml:space="preserve">This report designs the go-to-market and operations plan for MoveLoop. It defines target segments and a customer persona, builds a Value Proposition Canvas, maps the end-to-end rental journey and the box supply chain, and chooses booking, deposit and tracking processes. A unit-economics model shows that a box breaks even on rental fees alone after 12 rentals and after </w:t>
      </w:r>
      <w:r>
        <w:rPr>
          <w:rFonts w:ascii="Arial" w:cs="Arial" w:eastAsia="Arial" w:hAnsi="Arial"/>
          <w:b/>
          <w:bCs/>
          <w:i w:val="false"/>
          <w:iCs w:val="false"/>
        </w:rPr>
        <w:t xml:space="preserve">17.5 rentals</w:t>
      </w:r>
      <w:r>
        <w:rPr>
          <w:rFonts w:ascii="Arial" w:cs="Arial" w:eastAsia="Arial" w:hAnsi="Arial"/>
          <w:b w:val="false"/>
          <w:bCs w:val="false"/>
          <w:i w:val="false"/>
          <w:iCs w:val="false"/>
        </w:rPr>
        <w:t xml:space="preserve"> once variable costs are included, leaving about ₹300 profit per box over 30 cycles. A SWOT analysis and seven risks with mitigations are presented, followed by a recommended business model, two customer-acquisition routes at moving time, and a 90-day pilot-to-scale plan with measurable success criteria.</w:t>
      </w:r>
    </w:p>
    <w:p>
      <w:pPr>
        <w:spacing w:after="110" w:before="0" w:line="276"/>
        <w:jc w:val="left"/>
      </w:pPr>
      <w:r>
        <w:rPr>
          <w:rFonts w:ascii="Arial" w:cs="Arial" w:eastAsia="Arial" w:hAnsi="Arial"/>
          <w:b w:val="false"/>
          <w:bCs w:val="false"/>
          <w:i w:val="false"/>
          <w:iCs w:val="false"/>
          <w:sz w:val="19"/>
          <w:szCs w:val="19"/>
        </w:rPr>
        <w:t xml:space="preserve"/>
      </w:r>
      <w:r>
        <w:rPr>
          <w:rFonts w:ascii="Arial" w:cs="Arial" w:eastAsia="Arial" w:hAnsi="Arial"/>
          <w:b/>
          <w:bCs/>
          <w:i w:val="false"/>
          <w:iCs w:val="false"/>
          <w:sz w:val="19"/>
          <w:szCs w:val="19"/>
        </w:rPr>
        <w:t xml:space="preserve">Note on figures:</w:t>
      </w:r>
      <w:r>
        <w:rPr>
          <w:rFonts w:ascii="Arial" w:cs="Arial" w:eastAsia="Arial" w:hAnsi="Arial"/>
          <w:b w:val="false"/>
          <w:bCs w:val="false"/>
          <w:i w:val="false"/>
          <w:iCs w:val="false"/>
          <w:sz w:val="19"/>
          <w:szCs w:val="19"/>
        </w:rPr>
        <w:t xml:space="preserve"> the rental price (₹35), rental period (7 days), box cost (₹420), lifespan (30 cycles) and 5-km service area come from the case. All other numbers (costs per rental, deposit, fees, fixed costs, demand) are reasoned assumptions to be validated in the pilot.</w:t>
      </w:r>
    </w:p>
    <w:p>
      <w:pPr>
        <w:pStyle w:val="Heading1"/>
        <w:keepNext/>
      </w:pPr>
      <w:r>
        <w:rPr>
          <w:rFonts w:ascii="Arial" w:cs="Arial" w:eastAsia="Arial" w:hAnsi="Arial"/>
        </w:rPr>
        <w:t xml:space="preserve">3. Case Study Design</w:t>
      </w:r>
    </w:p>
    <w:p>
      <w:pPr>
        <w:spacing w:after="110" w:before="0" w:line="276"/>
        <w:jc w:val="left"/>
      </w:pPr>
      <w:r>
        <w:rPr>
          <w:rFonts w:ascii="Arial" w:cs="Arial" w:eastAsia="Arial" w:hAnsi="Arial"/>
          <w:b w:val="false"/>
          <w:bCs w:val="false"/>
          <w:i w:val="false"/>
          <w:iCs w:val="false"/>
        </w:rPr>
        <w:t xml:space="preserve">MoveLoop is designed as a service with a customer-facing layer (booking, deposit, delivery) and an operations layer (hub, cleaning, tracking, reverse logistics), built in the following stages:</w:t>
      </w:r>
    </w:p>
    <w:p>
      <w:pPr>
        <w:pStyle w:val="ListParagraph"/>
        <w:numPr>
          <w:ilvl w:val="0"/>
          <w:numId w:val="2"/>
        </w:numPr>
        <w:spacing w:after="60" w:line="264"/>
      </w:pPr>
      <w:r>
        <w:rPr>
          <w:rFonts w:ascii="Arial" w:cs="Arial" w:eastAsia="Arial" w:hAnsi="Arial"/>
          <w:b w:val="false"/>
          <w:bCs w:val="false"/>
          <w:i w:val="false"/>
          <w:iCs w:val="false"/>
        </w:rPr>
        <w:t xml:space="preserve">Customer discovery: identify pain points, segments and a persona.</w:t>
      </w:r>
    </w:p>
    <w:p>
      <w:pPr>
        <w:pStyle w:val="ListParagraph"/>
        <w:numPr>
          <w:ilvl w:val="0"/>
          <w:numId w:val="2"/>
        </w:numPr>
        <w:spacing w:after="60" w:line="264"/>
      </w:pPr>
      <w:r>
        <w:rPr>
          <w:rFonts w:ascii="Arial" w:cs="Arial" w:eastAsia="Arial" w:hAnsi="Arial"/>
          <w:b w:val="false"/>
          <w:bCs w:val="false"/>
          <w:i w:val="false"/>
          <w:iCs w:val="false"/>
        </w:rPr>
        <w:t xml:space="preserve">Value design: Value Proposition Canvas and problem/opportunity statements.</w:t>
      </w:r>
    </w:p>
    <w:p>
      <w:pPr>
        <w:pStyle w:val="ListParagraph"/>
        <w:numPr>
          <w:ilvl w:val="0"/>
          <w:numId w:val="2"/>
        </w:numPr>
        <w:spacing w:after="60" w:line="264"/>
      </w:pPr>
      <w:r>
        <w:rPr>
          <w:rFonts w:ascii="Arial" w:cs="Arial" w:eastAsia="Arial" w:hAnsi="Arial"/>
          <w:b w:val="false"/>
          <w:bCs w:val="false"/>
          <w:i w:val="false"/>
          <w:iCs w:val="false"/>
        </w:rPr>
        <w:t xml:space="preserve">Journey and service design: rental and return journey with operational touchpoints.</w:t>
      </w:r>
    </w:p>
    <w:p>
      <w:pPr>
        <w:pStyle w:val="ListParagraph"/>
        <w:numPr>
          <w:ilvl w:val="0"/>
          <w:numId w:val="2"/>
        </w:numPr>
        <w:spacing w:after="60" w:line="264"/>
      </w:pPr>
      <w:r>
        <w:rPr>
          <w:rFonts w:ascii="Arial" w:cs="Arial" w:eastAsia="Arial" w:hAnsi="Arial"/>
          <w:b w:val="false"/>
          <w:bCs w:val="false"/>
          <w:i w:val="false"/>
          <w:iCs w:val="false"/>
        </w:rPr>
        <w:t xml:space="preserve">Operating flow: supply chain from sourcing to delivery, return, cleaning and end of life.</w:t>
      </w:r>
    </w:p>
    <w:p>
      <w:pPr>
        <w:pStyle w:val="ListParagraph"/>
        <w:numPr>
          <w:ilvl w:val="0"/>
          <w:numId w:val="2"/>
        </w:numPr>
        <w:spacing w:after="60" w:line="264"/>
      </w:pPr>
      <w:r>
        <w:rPr>
          <w:rFonts w:ascii="Arial" w:cs="Arial" w:eastAsia="Arial" w:hAnsi="Arial"/>
          <w:b w:val="false"/>
          <w:bCs w:val="false"/>
          <w:i w:val="false"/>
          <w:iCs w:val="false"/>
        </w:rPr>
        <w:t xml:space="preserve">Economics: revenue streams, costs, break-even and reuse-cycle calculations.</w:t>
      </w:r>
    </w:p>
    <w:p>
      <w:pPr>
        <w:pStyle w:val="ListParagraph"/>
        <w:numPr>
          <w:ilvl w:val="0"/>
          <w:numId w:val="2"/>
        </w:numPr>
        <w:spacing w:after="60" w:line="264"/>
      </w:pPr>
      <w:r>
        <w:rPr>
          <w:rFonts w:ascii="Arial" w:cs="Arial" w:eastAsia="Arial" w:hAnsi="Arial"/>
          <w:b w:val="false"/>
          <w:bCs w:val="false"/>
          <w:i w:val="false"/>
          <w:iCs w:val="false"/>
        </w:rPr>
        <w:t xml:space="preserve">Risk and strategy: SWOT, risks and mitigation, business model and go-to-market.</w:t>
      </w:r>
    </w:p>
    <w:p>
      <w:pPr>
        <w:pStyle w:val="ListParagraph"/>
        <w:numPr>
          <w:ilvl w:val="0"/>
          <w:numId w:val="2"/>
        </w:numPr>
        <w:spacing w:after="60" w:line="264"/>
      </w:pPr>
      <w:r>
        <w:rPr>
          <w:rFonts w:ascii="Arial" w:cs="Arial" w:eastAsia="Arial" w:hAnsi="Arial"/>
          <w:b w:val="false"/>
          <w:bCs w:val="false"/>
          <w:i w:val="false"/>
          <w:iCs w:val="false"/>
        </w:rPr>
        <w:t xml:space="preserve">Execution: 90-day pilot-to-scale plan with measurable criteria.</w:t>
      </w:r>
    </w:p>
    <w:p>
      <w:pPr>
        <w:pStyle w:val="Heading2"/>
        <w:keepNext/>
      </w:pPr>
      <w:r>
        <w:rPr>
          <w:rFonts w:ascii="Arial" w:cs="Arial" w:eastAsia="Arial" w:hAnsi="Arial"/>
        </w:rPr>
        <w:t xml:space="preserve">3.1 Target Segments and Customer Profile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tblHeader/>
        </w:trPr>
        <w:tc>
          <w:tcPr>
            <w:tcW w:type="dxa" w:w="22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7"/>
                <w:szCs w:val="17"/>
              </w:rPr>
              <w:t xml:space="preserve">Segment</w:t>
            </w:r>
          </w:p>
        </w:tc>
        <w:tc>
          <w:tcPr>
            <w:tcW w:type="dxa" w:w="37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7"/>
                <w:szCs w:val="17"/>
              </w:rPr>
              <w:t xml:space="preserve">Who they are</w:t>
            </w:r>
          </w:p>
        </w:tc>
        <w:tc>
          <w:tcPr>
            <w:tcW w:type="dxa" w:w="3738"/>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7"/>
                <w:szCs w:val="17"/>
              </w:rPr>
              <w:t xml:space="preserve">Why they need MoveLoop</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
            </w:r>
            <w:r>
              <w:rPr>
                <w:rFonts w:ascii="Arial" w:cs="Arial" w:eastAsia="Arial" w:hAnsi="Arial"/>
                <w:b/>
                <w:bCs/>
                <w:i w:val="false"/>
                <w:iCs w:val="false"/>
                <w:sz w:val="17"/>
                <w:szCs w:val="17"/>
              </w:rPr>
              <w:t xml:space="preserve">Primary:</w:t>
            </w:r>
            <w:r>
              <w:rPr>
                <w:rFonts w:ascii="Arial" w:cs="Arial" w:eastAsia="Arial" w:hAnsi="Arial"/>
                <w:b w:val="false"/>
                <w:bCs w:val="false"/>
                <w:i w:val="false"/>
                <w:iCs w:val="false"/>
                <w:sz w:val="17"/>
                <w:szCs w:val="17"/>
              </w:rPr>
              <w:t xml:space="preserve"> young working renters</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Age 22–35, single or flat-sharing, often no car, UPI-first, move every 1–3 years</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Need boxes fast, no time to source cardboard, value convenience and low hassle</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
            </w:r>
            <w:r>
              <w:rPr>
                <w:rFonts w:ascii="Arial" w:cs="Arial" w:eastAsia="Arial" w:hAnsi="Arial"/>
                <w:b/>
                <w:bCs/>
                <w:i w:val="false"/>
                <w:iCs w:val="false"/>
                <w:sz w:val="17"/>
                <w:szCs w:val="17"/>
              </w:rPr>
              <w:t xml:space="preserve">Secondary:</w:t>
            </w:r>
            <w:r>
              <w:rPr>
                <w:rFonts w:ascii="Arial" w:cs="Arial" w:eastAsia="Arial" w:hAnsi="Arial"/>
                <w:b w:val="false"/>
                <w:bCs w:val="false"/>
                <w:i w:val="false"/>
                <w:iCs w:val="false"/>
                <w:sz w:val="17"/>
                <w:szCs w:val="17"/>
              </w:rPr>
              <w:t xml:space="preserve"> small renting families</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2–4 members, larger volume (25–40 boxes), moving between rentals</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Need sturdy stackable boxes for kitchen and books; want one predictable price</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
            </w:r>
            <w:r>
              <w:rPr>
                <w:rFonts w:ascii="Arial" w:cs="Arial" w:eastAsia="Arial" w:hAnsi="Arial"/>
                <w:b/>
                <w:bCs/>
                <w:i w:val="false"/>
                <w:iCs w:val="false"/>
                <w:sz w:val="17"/>
                <w:szCs w:val="17"/>
              </w:rPr>
              <w:t xml:space="preserve">Seasonal:</w:t>
            </w:r>
            <w:r>
              <w:rPr>
                <w:rFonts w:ascii="Arial" w:cs="Arial" w:eastAsia="Arial" w:hAnsi="Arial"/>
                <w:b w:val="false"/>
                <w:bCs w:val="false"/>
                <w:i w:val="false"/>
                <w:iCs w:val="false"/>
                <w:sz w:val="17"/>
                <w:szCs w:val="17"/>
              </w:rPr>
              <w:t xml:space="preserve"> students</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Hostel/PG movers at semester breaks</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Short-term need, price sensitive, ideal for 7-day rental</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
            </w:r>
            <w:r>
              <w:rPr>
                <w:rFonts w:ascii="Arial" w:cs="Arial" w:eastAsia="Arial" w:hAnsi="Arial"/>
                <w:b/>
                <w:bCs/>
                <w:i w:val="false"/>
                <w:iCs w:val="false"/>
                <w:sz w:val="17"/>
                <w:szCs w:val="17"/>
              </w:rPr>
              <w:t xml:space="preserve">Channel:</w:t>
            </w:r>
            <w:r>
              <w:rPr>
                <w:rFonts w:ascii="Arial" w:cs="Arial" w:eastAsia="Arial" w:hAnsi="Arial"/>
                <w:b w:val="false"/>
                <w:bCs w:val="false"/>
                <w:i w:val="false"/>
                <w:iCs w:val="false"/>
                <w:sz w:val="17"/>
                <w:szCs w:val="17"/>
              </w:rPr>
              <w:t xml:space="preserve"> B2B partners</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Brokers, PG and co-living operators, housing societies</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Recommend a ready service to tenants; earn referral fee; repeat demand</w:t>
            </w:r>
          </w:p>
        </w:tc>
      </w:tr>
    </w:tbl>
    <w:p>
      <w:pPr>
        <w:spacing w:after="60"/>
      </w:pPr>
    </w:p>
    <w:p>
      <w:pPr>
        <w:spacing w:after="110" w:before="0" w:line="276"/>
        <w:jc w:val="left"/>
      </w:pPr>
      <w:r>
        <w:rPr>
          <w:rFonts w:ascii="Arial" w:cs="Arial" w:eastAsia="Arial" w:hAnsi="Arial"/>
          <w:b w:val="false"/>
          <w:bCs w:val="false"/>
          <w:i w:val="false"/>
          <w:iCs w:val="false"/>
        </w:rPr>
        <w:t xml:space="preserve"/>
      </w:r>
      <w:r>
        <w:rPr>
          <w:rFonts w:ascii="Arial" w:cs="Arial" w:eastAsia="Arial" w:hAnsi="Arial"/>
          <w:b/>
          <w:bCs/>
          <w:i w:val="false"/>
          <w:iCs w:val="false"/>
        </w:rPr>
        <w:t xml:space="preserve">Customer profile (persona):</w:t>
      </w:r>
      <w:r>
        <w:rPr>
          <w:rFonts w:ascii="Arial" w:cs="Arial" w:eastAsia="Arial" w:hAnsi="Arial"/>
          <w:b w:val="false"/>
          <w:bCs w:val="false"/>
          <w:i w:val="false"/>
          <w:iCs w:val="false"/>
        </w:rPr>
        <w:t xml:space="preserve"> Riya, 27, software engineer, rents a 2BHK flat and is moving within the same neighbourhood. She needs about 20 boxes, has no car, pays through UPI, finds services through Google and her broker, and wants the move done in one weekend without a pile of cardboard left behind.</w:t>
      </w:r>
    </w:p>
    <w:p>
      <w:pPr>
        <w:pStyle w:val="Heading2"/>
        <w:keepNext/>
      </w:pPr>
      <w:r>
        <w:rPr>
          <w:rFonts w:ascii="Arial" w:cs="Arial" w:eastAsia="Arial" w:hAnsi="Arial"/>
        </w:rPr>
        <w:t xml:space="preserve">3.2 Value Proposition Canvas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419"/>
        <w:gridCol w:w="1400"/>
        <w:gridCol w:w="3419"/>
      </w:tblGrid>
      <w:tr>
        <w:trPr>
          <w:tblHeader/>
        </w:trPr>
        <w:tc>
          <w:tcPr>
            <w:tcW w:type="dxa" w:w="14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7"/>
                <w:szCs w:val="17"/>
              </w:rPr>
              <w:t xml:space="preserve">Customer Profile</w:t>
            </w:r>
          </w:p>
        </w:tc>
        <w:tc>
          <w:tcPr>
            <w:tcW w:type="dxa" w:w="3419"/>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7"/>
                <w:szCs w:val="17"/>
              </w:rPr>
              <w:t xml:space="preserve">What we know</w:t>
            </w:r>
          </w:p>
        </w:tc>
        <w:tc>
          <w:tcPr>
            <w:tcW w:type="dxa" w:w="14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7"/>
                <w:szCs w:val="17"/>
              </w:rPr>
              <w:t xml:space="preserve">Value Map</w:t>
            </w:r>
          </w:p>
        </w:tc>
        <w:tc>
          <w:tcPr>
            <w:tcW w:type="dxa" w:w="3419"/>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7"/>
                <w:szCs w:val="17"/>
              </w:rPr>
              <w:t xml:space="preserve">What MoveLoop offers</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7"/>
                <w:szCs w:val="17"/>
              </w:rPr>
              <w:t xml:space="preserve">Customer jobs</w:t>
            </w:r>
          </w:p>
        </w:tc>
        <w:tc>
          <w:tcPr>
            <w:tcW w:type="dxa" w:w="341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Pack belongings safely; move on a fixed date; keep cost low; avoid clutter</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Products and services</w:t>
            </w:r>
          </w:p>
        </w:tc>
        <w:tc>
          <w:tcPr>
            <w:tcW w:type="dxa" w:w="341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7-day box rental; door delivery and pickup; booking and tracking; optional packing kit</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7"/>
                <w:szCs w:val="17"/>
              </w:rPr>
              <w:t xml:space="preserve">Pains</w:t>
            </w:r>
          </w:p>
        </w:tc>
        <w:tc>
          <w:tcPr>
            <w:tcW w:type="dxa" w:w="341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Flimsy cardboard; time to find, buy and carry; storage and disposal; hidden costs; waste guilt</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Pain relievers</w:t>
            </w:r>
          </w:p>
        </w:tc>
        <w:tc>
          <w:tcPr>
            <w:tcW w:type="dxa" w:w="341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No purchase or disposal; sturdy lidded boxes; doorstep service; clear price and refundable deposit</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7"/>
                <w:szCs w:val="17"/>
              </w:rPr>
              <w:t xml:space="preserve">Gains</w:t>
            </w:r>
          </w:p>
        </w:tc>
        <w:tc>
          <w:tcPr>
            <w:tcW w:type="dxa" w:w="341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Strong stackable boxes; predictable price; fast, clean process; a more sustainable move</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Gain creators</w:t>
            </w:r>
          </w:p>
        </w:tc>
        <w:tc>
          <w:tcPr>
            <w:tcW w:type="dxa" w:w="341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Uniform stackable boxes speed up packing; “cardboard avoided” count per move; referral rewards</w:t>
            </w:r>
          </w:p>
        </w:tc>
      </w:tr>
    </w:tbl>
    <w:p>
      <w:pPr>
        <w:pStyle w:val="Heading2"/>
        <w:keepNext/>
      </w:pPr>
      <w:r>
        <w:rPr>
          <w:rFonts w:ascii="Arial" w:cs="Arial" w:eastAsia="Arial" w:hAnsi="Arial"/>
        </w:rPr>
        <w:t xml:space="preserve">3.3 End-to-End Customer Journey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50"/>
        <w:gridCol w:w="2350"/>
        <w:gridCol w:w="3138"/>
      </w:tblGrid>
      <w:tr>
        <w:trPr>
          <w:tblHeader/>
        </w:trPr>
        <w:tc>
          <w:tcPr>
            <w:tcW w:type="dxa" w:w="15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6"/>
                <w:szCs w:val="16"/>
              </w:rPr>
              <w:t xml:space="preserve">Stage</w:t>
            </w:r>
          </w:p>
        </w:tc>
        <w:tc>
          <w:tcPr>
            <w:tcW w:type="dxa" w:w="265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6"/>
                <w:szCs w:val="16"/>
              </w:rPr>
              <w:t xml:space="preserve">Customer action</w:t>
            </w:r>
          </w:p>
        </w:tc>
        <w:tc>
          <w:tcPr>
            <w:tcW w:type="dxa" w:w="235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6"/>
                <w:szCs w:val="16"/>
              </w:rPr>
              <w:t xml:space="preserve">Touchpoint</w:t>
            </w:r>
          </w:p>
        </w:tc>
        <w:tc>
          <w:tcPr>
            <w:tcW w:type="dxa" w:w="3138"/>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6"/>
                <w:szCs w:val="16"/>
              </w:rPr>
              <w:t xml:space="preserve">Operational responsibility</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6"/>
                <w:szCs w:val="16"/>
              </w:rPr>
              <w:t xml:space="preserve">1. Awareness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Confirms moving date; searches for boxes</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Broker tip, Google search, Instagram, society WhatsApp group</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Marketing, partner kits, clear price message</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6"/>
                <w:szCs w:val="16"/>
              </w:rPr>
              <w:t xml:space="preserve">2. Booking</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Chooses box count, date and 2-hour slot, shares address</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WhatsApp / web form, confirmation message</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Check address is inside 5-km zone; verify stock; lock inventory</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6"/>
                <w:szCs w:val="16"/>
              </w:rPr>
              <w:t xml:space="preserve">3. Deposit</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Pays deposit and fees by UPI</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Payment link, booking ID</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Deposit ledger, receipt, reminder one day before</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6"/>
                <w:szCs w:val="16"/>
              </w:rPr>
              <w:t xml:space="preserve">4. Delivery</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Receives boxes 1–2 days before the move</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Rider, QR scan handover</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Pick-pack at hub, scan-out, count and photo, on-time slot</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6"/>
                <w:szCs w:val="16"/>
              </w:rPr>
              <w:t xml:space="preserve">5. Packing and move</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Packs and moves; extends if needed</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Day-5 reminder, helpline</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Extension at ₹5/box/day; proactive support</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6"/>
                <w:szCs w:val="16"/>
              </w:rPr>
              <w:t xml:space="preserve">6. Return</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Requests pickup (old or new address inside zone)</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Pickup request, rider visit</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Scan-in count, condition check, close order</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6"/>
                <w:szCs w:val="16"/>
              </w:rPr>
              <w:t xml:space="preserve">7. Refund and feedback</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Gets refund; rates service; shares referral code</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UPI refund, feedback form</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Inspection-based settlement within 24 h; feedback loop</w:t>
            </w:r>
          </w:p>
        </w:tc>
      </w:tr>
    </w:tbl>
    <w:p>
      <w:pPr>
        <w:pStyle w:val="Heading2"/>
        <w:keepNext/>
      </w:pPr>
      <w:r>
        <w:rPr>
          <w:rFonts w:ascii="Arial" w:cs="Arial" w:eastAsia="Arial" w:hAnsi="Arial"/>
        </w:rPr>
        <w:t xml:space="preserve">3.4 Supply Chain / Operating Flow</w:t>
      </w:r>
    </w:p>
    <w:p>
      <w:pPr>
        <w:spacing w:after="110" w:before="0" w:line="276"/>
        <w:jc w:val="left"/>
      </w:pPr>
      <w:r>
        <w:rPr>
          <w:rFonts w:ascii="Arial" w:cs="Arial" w:eastAsia="Arial" w:hAnsi="Arial"/>
          <w:b w:val="false"/>
          <w:bCs w:val="false"/>
          <w:i w:val="false"/>
          <w:iCs w:val="false"/>
        </w:rPr>
        <w:t xml:space="preserve">The operating flow is a closed loop: boxes are bought once, then cycle between hub, customer and cleaning station until they are retired and recycled (Figure 1 in Section 5). Key responsibilities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3538"/>
        <w:gridCol w:w="2400"/>
      </w:tblGrid>
      <w:tr>
        <w:trPr>
          <w:tblHeader/>
        </w:trPr>
        <w:tc>
          <w:tcPr>
            <w:tcW w:type="dxa" w:w="17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6"/>
                <w:szCs w:val="16"/>
              </w:rPr>
              <w:t xml:space="preserve">Step</w:t>
            </w:r>
          </w:p>
        </w:tc>
        <w:tc>
          <w:tcPr>
            <w:tcW w:type="dxa" w:w="20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6"/>
                <w:szCs w:val="16"/>
              </w:rPr>
              <w:t xml:space="preserve">Owner</w:t>
            </w:r>
          </w:p>
        </w:tc>
        <w:tc>
          <w:tcPr>
            <w:tcW w:type="dxa" w:w="3538"/>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6"/>
                <w:szCs w:val="16"/>
              </w:rPr>
              <w:t xml:space="preserve">Key responsibility</w:t>
            </w:r>
          </w:p>
        </w:tc>
        <w:tc>
          <w:tcPr>
            <w:tcW w:type="dxa" w:w="24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6"/>
                <w:szCs w:val="16"/>
              </w:rPr>
              <w:t xml:space="preserve">Control / KPI</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6"/>
                <w:szCs w:val="16"/>
              </w:rPr>
              <w:t xml:space="preserve">1. Sourcing</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Founder / procurement</w:t>
            </w:r>
          </w:p>
        </w:tc>
        <w:tc>
          <w:tcPr>
            <w:tcW w:type="dxa" w:w="35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Choose durable, stackable, lidded boxes; QR-tag each unit</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Cost ₹420; defects below 1%</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6"/>
                <w:szCs w:val="16"/>
              </w:rPr>
              <w:t xml:space="preserve">2. Hub stock</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Hub supervisor</w:t>
            </w:r>
          </w:p>
        </w:tc>
        <w:tc>
          <w:tcPr>
            <w:tcW w:type="dxa" w:w="35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Storage, first-in-first-out issue, stock sync</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Stock accuracy 99% or higher</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6"/>
                <w:szCs w:val="16"/>
              </w:rPr>
              <w:t xml:space="preserve">3. Booking</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Customer-ops executive</w:t>
            </w:r>
          </w:p>
        </w:tc>
        <w:tc>
          <w:tcPr>
            <w:tcW w:type="dxa" w:w="35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Validate order, slot, deposit</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Confirmation in under 5 minutes</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6"/>
                <w:szCs w:val="16"/>
              </w:rPr>
              <w:t xml:space="preserve">4. Delivery</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Rider / driver</w:t>
            </w:r>
          </w:p>
        </w:tc>
        <w:tc>
          <w:tcPr>
            <w:tcW w:type="dxa" w:w="35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Scan-out, deliver, count with customer</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On-time delivery 95% or higher</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6"/>
                <w:szCs w:val="16"/>
              </w:rPr>
              <w:t xml:space="preserve">5. Customer use</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Customer and support</w:t>
            </w:r>
          </w:p>
        </w:tc>
        <w:tc>
          <w:tcPr>
            <w:tcW w:type="dxa" w:w="35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Reminders, extensions</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Returned on time 97% or higher</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6"/>
                <w:szCs w:val="16"/>
              </w:rPr>
              <w:t xml:space="preserve">6. Pickup</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Rider / driver</w:t>
            </w:r>
          </w:p>
        </w:tc>
        <w:tc>
          <w:tcPr>
            <w:tcW w:type="dxa" w:w="35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Scan-in, count, condition photo</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On-time pickup 95% or higher</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6"/>
                <w:szCs w:val="16"/>
              </w:rPr>
              <w:t xml:space="preserve">7. Inspect and clean</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Hub team</w:t>
            </w:r>
          </w:p>
        </w:tc>
        <w:tc>
          <w:tcPr>
            <w:tcW w:type="dxa" w:w="35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Wash, dry, grade (A / B / retire), repair</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24-hour turnaround; grade A 95% or higher</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6"/>
                <w:szCs w:val="16"/>
              </w:rPr>
              <w:t xml:space="preserve">8. End of life</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Ops manager</w:t>
            </w:r>
          </w:p>
        </w:tc>
        <w:tc>
          <w:tcPr>
            <w:tcW w:type="dxa" w:w="35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Retire boxes near 30 cycles; sell plastic to recycler</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100% of retired boxes recycled</w:t>
            </w:r>
          </w:p>
        </w:tc>
      </w:tr>
    </w:tbl>
    <w:p>
      <w:r>
        <w:br w:type="page"/>
      </w:r>
    </w:p>
    <w:p>
      <w:pPr>
        <w:pStyle w:val="Heading2"/>
        <w:keepNext/>
      </w:pPr>
      <w:r>
        <w:rPr>
          <w:rFonts w:ascii="Arial" w:cs="Arial" w:eastAsia="Arial" w:hAnsi="Arial"/>
        </w:rPr>
        <w:t xml:space="preserve">3.5 Business Model Canvas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50"/>
        <w:gridCol w:w="1900"/>
        <w:gridCol w:w="1950"/>
        <w:gridCol w:w="1938"/>
      </w:tblGrid>
      <w:tr>
        <w:tc>
          <w:tcPr>
            <w:tcW w:type="dxa" w:w="1900"/>
            <w:tcBorders>
              <w:top w:val="single" w:color="A6A6A6" w:sz="4"/>
              <w:left w:val="single" w:color="A6A6A6" w:sz="4"/>
              <w:bottom w:val="single" w:color="A6A6A6" w:sz="4"/>
              <w:right w:val="single" w:color="A6A6A6" w:sz="4"/>
            </w:tcBorders>
            <w:shd w:fill="F3DCE4"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5"/>
                <w:szCs w:val="15"/>
              </w:rPr>
              <w:t xml:space="preserve">Key Partners</w:t>
            </w:r>
          </w:p>
        </w:tc>
        <w:tc>
          <w:tcPr>
            <w:tcW w:type="dxa" w:w="1950"/>
            <w:tcBorders>
              <w:top w:val="single" w:color="A6A6A6" w:sz="4"/>
              <w:left w:val="single" w:color="A6A6A6" w:sz="4"/>
              <w:bottom w:val="single" w:color="A6A6A6" w:sz="4"/>
              <w:right w:val="single" w:color="A6A6A6" w:sz="4"/>
            </w:tcBorders>
            <w:shd w:fill="F3DCE4"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5"/>
                <w:szCs w:val="15"/>
              </w:rPr>
              <w:t xml:space="preserve">Key Activities / Key Resources</w:t>
            </w:r>
          </w:p>
        </w:tc>
        <w:tc>
          <w:tcPr>
            <w:tcW w:type="dxa" w:w="1900"/>
            <w:tcBorders>
              <w:top w:val="single" w:color="A6A6A6" w:sz="4"/>
              <w:left w:val="single" w:color="A6A6A6" w:sz="4"/>
              <w:bottom w:val="single" w:color="A6A6A6" w:sz="4"/>
              <w:right w:val="single" w:color="A6A6A6" w:sz="4"/>
            </w:tcBorders>
            <w:shd w:fill="F3DCE4"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5"/>
                <w:szCs w:val="15"/>
              </w:rPr>
              <w:t xml:space="preserve">Value Propositions</w:t>
            </w:r>
          </w:p>
        </w:tc>
        <w:tc>
          <w:tcPr>
            <w:tcW w:type="dxa" w:w="1950"/>
            <w:tcBorders>
              <w:top w:val="single" w:color="A6A6A6" w:sz="4"/>
              <w:left w:val="single" w:color="A6A6A6" w:sz="4"/>
              <w:bottom w:val="single" w:color="A6A6A6" w:sz="4"/>
              <w:right w:val="single" w:color="A6A6A6" w:sz="4"/>
            </w:tcBorders>
            <w:shd w:fill="F3DCE4"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5"/>
                <w:szCs w:val="15"/>
              </w:rPr>
              <w:t xml:space="preserve">Customer Relationships / Channels</w:t>
            </w:r>
          </w:p>
        </w:tc>
        <w:tc>
          <w:tcPr>
            <w:tcW w:type="dxa" w:w="1938"/>
            <w:tcBorders>
              <w:top w:val="single" w:color="A6A6A6" w:sz="4"/>
              <w:left w:val="single" w:color="A6A6A6" w:sz="4"/>
              <w:bottom w:val="single" w:color="A6A6A6" w:sz="4"/>
              <w:right w:val="single" w:color="A6A6A6" w:sz="4"/>
            </w:tcBorders>
            <w:shd w:fill="F3DCE4"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5"/>
                <w:szCs w:val="15"/>
              </w:rPr>
              <w:t xml:space="preserve">Customer Segments</w:t>
            </w:r>
          </w:p>
        </w:tc>
      </w:tr>
      <w:t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5"/>
                <w:szCs w:val="15"/>
              </w:rPr>
              <w:t xml:space="preserve">Box manufacturer</w:t>
            </w:r>
          </w:p>
          <w:p>
            <w:pPr>
              <w:spacing w:after="30" w:line="250"/>
              <w:jc w:val="left"/>
            </w:pPr>
            <w:r>
              <w:rPr>
                <w:rFonts w:ascii="Arial" w:cs="Arial" w:eastAsia="Arial" w:hAnsi="Arial"/>
                <w:b w:val="false"/>
                <w:bCs w:val="false"/>
                <w:i w:val="false"/>
                <w:iCs w:val="false"/>
                <w:sz w:val="15"/>
                <w:szCs w:val="15"/>
              </w:rPr>
              <w:t xml:space="preserve">Property brokers and rental platforms</w:t>
            </w:r>
          </w:p>
          <w:p>
            <w:pPr>
              <w:spacing w:after="30" w:line="250"/>
              <w:jc w:val="left"/>
            </w:pPr>
            <w:r>
              <w:rPr>
                <w:rFonts w:ascii="Arial" w:cs="Arial" w:eastAsia="Arial" w:hAnsi="Arial"/>
                <w:b w:val="false"/>
                <w:bCs w:val="false"/>
                <w:i w:val="false"/>
                <w:iCs w:val="false"/>
                <w:sz w:val="15"/>
                <w:szCs w:val="15"/>
              </w:rPr>
              <w:t xml:space="preserve">Housing societies (RWAs)</w:t>
            </w:r>
          </w:p>
          <w:p>
            <w:pPr>
              <w:spacing w:after="30" w:line="250"/>
              <w:jc w:val="left"/>
            </w:pPr>
            <w:r>
              <w:rPr>
                <w:rFonts w:ascii="Arial" w:cs="Arial" w:eastAsia="Arial" w:hAnsi="Arial"/>
                <w:b w:val="false"/>
                <w:bCs w:val="false"/>
                <w:i w:val="false"/>
                <w:iCs w:val="false"/>
                <w:sz w:val="15"/>
                <w:szCs w:val="15"/>
              </w:rPr>
              <w:t xml:space="preserve">PG and co-living operators</w:t>
            </w:r>
          </w:p>
          <w:p>
            <w:pPr>
              <w:spacing w:after="30" w:line="250"/>
              <w:jc w:val="left"/>
            </w:pPr>
            <w:r>
              <w:rPr>
                <w:rFonts w:ascii="Arial" w:cs="Arial" w:eastAsia="Arial" w:hAnsi="Arial"/>
                <w:b w:val="false"/>
                <w:bCs w:val="false"/>
                <w:i w:val="false"/>
                <w:iCs w:val="false"/>
                <w:sz w:val="15"/>
                <w:szCs w:val="15"/>
              </w:rPr>
              <w:t xml:space="preserve">Rider / 3-wheeler partners</w:t>
            </w:r>
          </w:p>
          <w:p>
            <w:pPr>
              <w:spacing w:after="30" w:line="250"/>
              <w:jc w:val="left"/>
            </w:pPr>
            <w:r>
              <w:rPr>
                <w:rFonts w:ascii="Arial" w:cs="Arial" w:eastAsia="Arial" w:hAnsi="Arial"/>
                <w:b w:val="false"/>
                <w:bCs w:val="false"/>
                <w:i w:val="false"/>
                <w:iCs w:val="false"/>
                <w:sz w:val="15"/>
                <w:szCs w:val="15"/>
              </w:rPr>
              <w:t xml:space="preserve">Plastic recyclers</w:t>
            </w:r>
          </w:p>
          <w:p>
            <w:pPr>
              <w:spacing w:after="30" w:line="250"/>
              <w:jc w:val="left"/>
            </w:pPr>
            <w:r>
              <w:rPr>
                <w:rFonts w:ascii="Arial" w:cs="Arial" w:eastAsia="Arial" w:hAnsi="Arial"/>
                <w:b w:val="false"/>
                <w:bCs w:val="false"/>
                <w:i w:val="false"/>
                <w:iCs w:val="false"/>
                <w:sz w:val="15"/>
                <w:szCs w:val="15"/>
              </w:rPr>
              <w:t xml:space="preserve">UPI payment gateway</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5"/>
                <w:szCs w:val="15"/>
              </w:rPr>
              <w:t xml:space="preserve"/>
            </w:r>
            <w:r>
              <w:rPr>
                <w:rFonts w:ascii="Arial" w:cs="Arial" w:eastAsia="Arial" w:hAnsi="Arial"/>
                <w:b/>
                <w:bCs/>
                <w:i w:val="false"/>
                <w:iCs w:val="false"/>
                <w:sz w:val="15"/>
                <w:szCs w:val="15"/>
              </w:rPr>
              <w:t xml:space="preserve">Activities</w:t>
            </w:r>
            <w:r>
              <w:rPr>
                <w:rFonts w:ascii="Arial" w:cs="Arial" w:eastAsia="Arial" w:hAnsi="Arial"/>
                <w:b w:val="false"/>
                <w:bCs w:val="false"/>
                <w:i w:val="false"/>
                <w:iCs w:val="false"/>
                <w:sz w:val="15"/>
                <w:szCs w:val="15"/>
              </w:rPr>
              <w:t xml:space="preserve"/>
            </w:r>
          </w:p>
          <w:p>
            <w:pPr>
              <w:spacing w:after="30" w:line="250"/>
              <w:jc w:val="left"/>
            </w:pPr>
            <w:r>
              <w:rPr>
                <w:rFonts w:ascii="Arial" w:cs="Arial" w:eastAsia="Arial" w:hAnsi="Arial"/>
                <w:b w:val="false"/>
                <w:bCs w:val="false"/>
                <w:i w:val="false"/>
                <w:iCs w:val="false"/>
                <w:sz w:val="15"/>
                <w:szCs w:val="15"/>
              </w:rPr>
              <w:t xml:space="preserve">Sourcing and QR-tagging boxes</w:t>
            </w:r>
          </w:p>
          <w:p>
            <w:pPr>
              <w:spacing w:after="30" w:line="250"/>
              <w:jc w:val="left"/>
            </w:pPr>
            <w:r>
              <w:rPr>
                <w:rFonts w:ascii="Arial" w:cs="Arial" w:eastAsia="Arial" w:hAnsi="Arial"/>
                <w:b w:val="false"/>
                <w:bCs w:val="false"/>
                <w:i w:val="false"/>
                <w:iCs w:val="false"/>
                <w:sz w:val="15"/>
                <w:szCs w:val="15"/>
              </w:rPr>
              <w:t xml:space="preserve">Booking and slot scheduling</w:t>
            </w:r>
          </w:p>
          <w:p>
            <w:pPr>
              <w:spacing w:after="30" w:line="250"/>
              <w:jc w:val="left"/>
            </w:pPr>
            <w:r>
              <w:rPr>
                <w:rFonts w:ascii="Arial" w:cs="Arial" w:eastAsia="Arial" w:hAnsi="Arial"/>
                <w:b w:val="false"/>
                <w:bCs w:val="false"/>
                <w:i w:val="false"/>
                <w:iCs w:val="false"/>
                <w:sz w:val="15"/>
                <w:szCs w:val="15"/>
              </w:rPr>
              <w:t xml:space="preserve">Delivery and pickup</w:t>
            </w:r>
          </w:p>
          <w:p>
            <w:pPr>
              <w:spacing w:after="30" w:line="250"/>
              <w:jc w:val="left"/>
            </w:pPr>
            <w:r>
              <w:rPr>
                <w:rFonts w:ascii="Arial" w:cs="Arial" w:eastAsia="Arial" w:hAnsi="Arial"/>
                <w:b w:val="false"/>
                <w:bCs w:val="false"/>
                <w:i w:val="false"/>
                <w:iCs w:val="false"/>
                <w:sz w:val="15"/>
                <w:szCs w:val="15"/>
              </w:rPr>
              <w:t xml:space="preserve">Inspection, washing, repair</w:t>
            </w:r>
          </w:p>
          <w:p>
            <w:pPr>
              <w:spacing w:after="30" w:line="250"/>
              <w:jc w:val="left"/>
            </w:pPr>
            <w:r>
              <w:rPr>
                <w:rFonts w:ascii="Arial" w:cs="Arial" w:eastAsia="Arial" w:hAnsi="Arial"/>
                <w:b w:val="false"/>
                <w:bCs w:val="false"/>
                <w:i w:val="false"/>
                <w:iCs w:val="false"/>
                <w:sz w:val="15"/>
                <w:szCs w:val="15"/>
              </w:rPr>
              <w:t xml:space="preserve">Deposit handling and refunds</w:t>
            </w:r>
          </w:p>
          <w:p>
            <w:pPr>
              <w:spacing w:after="30" w:line="250"/>
              <w:jc w:val="left"/>
            </w:pPr>
            <w:r>
              <w:rPr>
                <w:rFonts w:ascii="Arial" w:cs="Arial" w:eastAsia="Arial" w:hAnsi="Arial"/>
                <w:b w:val="false"/>
                <w:bCs w:val="false"/>
                <w:i w:val="false"/>
                <w:iCs w:val="false"/>
                <w:sz w:val="15"/>
                <w:szCs w:val="15"/>
              </w:rPr>
              <w:t xml:space="preserve"/>
            </w:r>
            <w:r>
              <w:rPr>
                <w:rFonts w:ascii="Arial" w:cs="Arial" w:eastAsia="Arial" w:hAnsi="Arial"/>
                <w:b/>
                <w:bCs/>
                <w:i w:val="false"/>
                <w:iCs w:val="false"/>
                <w:sz w:val="15"/>
                <w:szCs w:val="15"/>
              </w:rPr>
              <w:t xml:space="preserve">Resources</w:t>
            </w:r>
            <w:r>
              <w:rPr>
                <w:rFonts w:ascii="Arial" w:cs="Arial" w:eastAsia="Arial" w:hAnsi="Arial"/>
                <w:b w:val="false"/>
                <w:bCs w:val="false"/>
                <w:i w:val="false"/>
                <w:iCs w:val="false"/>
                <w:sz w:val="15"/>
                <w:szCs w:val="15"/>
              </w:rPr>
              <w:t xml:space="preserve"/>
            </w:r>
          </w:p>
          <w:p>
            <w:pPr>
              <w:spacing w:after="30" w:line="250"/>
              <w:jc w:val="left"/>
            </w:pPr>
            <w:r>
              <w:rPr>
                <w:rFonts w:ascii="Arial" w:cs="Arial" w:eastAsia="Arial" w:hAnsi="Arial"/>
                <w:b w:val="false"/>
                <w:bCs w:val="false"/>
                <w:i w:val="false"/>
                <w:iCs w:val="false"/>
                <w:sz w:val="15"/>
                <w:szCs w:val="15"/>
              </w:rPr>
              <w:t xml:space="preserve">Box fleet (₹420 each)</w:t>
            </w:r>
          </w:p>
          <w:p>
            <w:pPr>
              <w:spacing w:after="30" w:line="250"/>
              <w:jc w:val="left"/>
            </w:pPr>
            <w:r>
              <w:rPr>
                <w:rFonts w:ascii="Arial" w:cs="Arial" w:eastAsia="Arial" w:hAnsi="Arial"/>
                <w:b w:val="false"/>
                <w:bCs w:val="false"/>
                <w:i w:val="false"/>
                <w:iCs w:val="false"/>
                <w:sz w:val="15"/>
                <w:szCs w:val="15"/>
              </w:rPr>
              <w:t xml:space="preserve">Local hub with wash area</w:t>
            </w:r>
          </w:p>
          <w:p>
            <w:pPr>
              <w:spacing w:after="30" w:line="250"/>
              <w:jc w:val="left"/>
            </w:pPr>
            <w:r>
              <w:rPr>
                <w:rFonts w:ascii="Arial" w:cs="Arial" w:eastAsia="Arial" w:hAnsi="Arial"/>
                <w:b w:val="false"/>
                <w:bCs w:val="false"/>
                <w:i w:val="false"/>
                <w:iCs w:val="false"/>
                <w:sz w:val="15"/>
                <w:szCs w:val="15"/>
              </w:rPr>
              <w:t xml:space="preserve">Riders and vehicle</w:t>
            </w:r>
          </w:p>
          <w:p>
            <w:pPr>
              <w:spacing w:after="30" w:line="250"/>
              <w:jc w:val="left"/>
            </w:pPr>
            <w:r>
              <w:rPr>
                <w:rFonts w:ascii="Arial" w:cs="Arial" w:eastAsia="Arial" w:hAnsi="Arial"/>
                <w:b w:val="false"/>
                <w:bCs w:val="false"/>
                <w:i w:val="false"/>
                <w:iCs w:val="false"/>
                <w:sz w:val="15"/>
                <w:szCs w:val="15"/>
              </w:rPr>
              <w:t xml:space="preserve">Booking and tracking tools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5"/>
                <w:szCs w:val="15"/>
              </w:rPr>
              <w:t xml:space="preserve">Sturdy, clean boxes delivered and collected</w:t>
            </w:r>
          </w:p>
          <w:p>
            <w:pPr>
              <w:spacing w:after="30" w:line="250"/>
              <w:jc w:val="left"/>
            </w:pPr>
            <w:r>
              <w:rPr>
                <w:rFonts w:ascii="Arial" w:cs="Arial" w:eastAsia="Arial" w:hAnsi="Arial"/>
                <w:b w:val="false"/>
                <w:bCs w:val="false"/>
                <w:i w:val="false"/>
                <w:iCs w:val="false"/>
                <w:sz w:val="15"/>
                <w:szCs w:val="15"/>
              </w:rPr>
              <w:t xml:space="preserve">No buying, storing or dumping cardboard</w:t>
            </w:r>
          </w:p>
          <w:p>
            <w:pPr>
              <w:spacing w:after="30" w:line="250"/>
              <w:jc w:val="left"/>
            </w:pPr>
            <w:r>
              <w:rPr>
                <w:rFonts w:ascii="Arial" w:cs="Arial" w:eastAsia="Arial" w:hAnsi="Arial"/>
                <w:b w:val="false"/>
                <w:bCs w:val="false"/>
                <w:i w:val="false"/>
                <w:iCs w:val="false"/>
                <w:sz w:val="15"/>
                <w:szCs w:val="15"/>
              </w:rPr>
              <w:t xml:space="preserve">Predictable price: ₹35/box/7 days</w:t>
            </w:r>
          </w:p>
          <w:p>
            <w:pPr>
              <w:spacing w:after="30" w:line="250"/>
              <w:jc w:val="left"/>
            </w:pPr>
            <w:r>
              <w:rPr>
                <w:rFonts w:ascii="Arial" w:cs="Arial" w:eastAsia="Arial" w:hAnsi="Arial"/>
                <w:b w:val="false"/>
                <w:bCs w:val="false"/>
                <w:i w:val="false"/>
                <w:iCs w:val="false"/>
                <w:sz w:val="15"/>
                <w:szCs w:val="15"/>
              </w:rPr>
              <w:t xml:space="preserve">Refundable deposit, transparent fees</w:t>
            </w:r>
          </w:p>
          <w:p>
            <w:pPr>
              <w:spacing w:after="30" w:line="250"/>
              <w:jc w:val="left"/>
            </w:pPr>
            <w:r>
              <w:rPr>
                <w:rFonts w:ascii="Arial" w:cs="Arial" w:eastAsia="Arial" w:hAnsi="Arial"/>
                <w:b w:val="false"/>
                <w:bCs w:val="false"/>
                <w:i w:val="false"/>
                <w:iCs w:val="false"/>
                <w:sz w:val="15"/>
                <w:szCs w:val="15"/>
              </w:rPr>
              <w:t xml:space="preserve">Lower packaging waste per move</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5"/>
                <w:szCs w:val="15"/>
              </w:rPr>
              <w:t xml:space="preserve"/>
            </w:r>
            <w:r>
              <w:rPr>
                <w:rFonts w:ascii="Arial" w:cs="Arial" w:eastAsia="Arial" w:hAnsi="Arial"/>
                <w:b/>
                <w:bCs/>
                <w:i w:val="false"/>
                <w:iCs w:val="false"/>
                <w:sz w:val="15"/>
                <w:szCs w:val="15"/>
              </w:rPr>
              <w:t xml:space="preserve">Relationships</w:t>
            </w:r>
            <w:r>
              <w:rPr>
                <w:rFonts w:ascii="Arial" w:cs="Arial" w:eastAsia="Arial" w:hAnsi="Arial"/>
                <w:b w:val="false"/>
                <w:bCs w:val="false"/>
                <w:i w:val="false"/>
                <w:iCs w:val="false"/>
                <w:sz w:val="15"/>
                <w:szCs w:val="15"/>
              </w:rPr>
              <w:t xml:space="preserve"/>
            </w:r>
          </w:p>
          <w:p>
            <w:pPr>
              <w:spacing w:after="30" w:line="250"/>
              <w:jc w:val="left"/>
            </w:pPr>
            <w:r>
              <w:rPr>
                <w:rFonts w:ascii="Arial" w:cs="Arial" w:eastAsia="Arial" w:hAnsi="Arial"/>
                <w:b w:val="false"/>
                <w:bCs w:val="false"/>
                <w:i w:val="false"/>
                <w:iCs w:val="false"/>
                <w:sz w:val="15"/>
                <w:szCs w:val="15"/>
              </w:rPr>
              <w:t xml:space="preserve">WhatsApp support</w:t>
            </w:r>
          </w:p>
          <w:p>
            <w:pPr>
              <w:spacing w:after="30" w:line="250"/>
              <w:jc w:val="left"/>
            </w:pPr>
            <w:r>
              <w:rPr>
                <w:rFonts w:ascii="Arial" w:cs="Arial" w:eastAsia="Arial" w:hAnsi="Arial"/>
                <w:b w:val="false"/>
                <w:bCs w:val="false"/>
                <w:i w:val="false"/>
                <w:iCs w:val="false"/>
                <w:sz w:val="15"/>
                <w:szCs w:val="15"/>
              </w:rPr>
              <w:t xml:space="preserve">Day-5 and day-7 reminders</w:t>
            </w:r>
          </w:p>
          <w:p>
            <w:pPr>
              <w:spacing w:after="30" w:line="250"/>
              <w:jc w:val="left"/>
            </w:pPr>
            <w:r>
              <w:rPr>
                <w:rFonts w:ascii="Arial" w:cs="Arial" w:eastAsia="Arial" w:hAnsi="Arial"/>
                <w:b w:val="false"/>
                <w:bCs w:val="false"/>
                <w:i w:val="false"/>
                <w:iCs w:val="false"/>
                <w:sz w:val="15"/>
                <w:szCs w:val="15"/>
              </w:rPr>
              <w:t xml:space="preserve">Easy repeat booking</w:t>
            </w:r>
          </w:p>
          <w:p>
            <w:pPr>
              <w:spacing w:after="30" w:line="250"/>
              <w:jc w:val="left"/>
            </w:pPr>
            <w:r>
              <w:rPr>
                <w:rFonts w:ascii="Arial" w:cs="Arial" w:eastAsia="Arial" w:hAnsi="Arial"/>
                <w:b w:val="false"/>
                <w:bCs w:val="false"/>
                <w:i w:val="false"/>
                <w:iCs w:val="false"/>
                <w:sz w:val="15"/>
                <w:szCs w:val="15"/>
              </w:rPr>
              <w:t xml:space="preserve">Referral credit</w:t>
            </w:r>
          </w:p>
          <w:p>
            <w:pPr>
              <w:spacing w:after="30" w:line="250"/>
              <w:jc w:val="left"/>
            </w:pPr>
            <w:r>
              <w:rPr>
                <w:rFonts w:ascii="Arial" w:cs="Arial" w:eastAsia="Arial" w:hAnsi="Arial"/>
                <w:b w:val="false"/>
                <w:bCs w:val="false"/>
                <w:i w:val="false"/>
                <w:iCs w:val="false"/>
                <w:sz w:val="15"/>
                <w:szCs w:val="15"/>
              </w:rPr>
              <w:t xml:space="preserve"/>
            </w:r>
            <w:r>
              <w:rPr>
                <w:rFonts w:ascii="Arial" w:cs="Arial" w:eastAsia="Arial" w:hAnsi="Arial"/>
                <w:b/>
                <w:bCs/>
                <w:i w:val="false"/>
                <w:iCs w:val="false"/>
                <w:sz w:val="15"/>
                <w:szCs w:val="15"/>
              </w:rPr>
              <w:t xml:space="preserve">Channels</w:t>
            </w:r>
            <w:r>
              <w:rPr>
                <w:rFonts w:ascii="Arial" w:cs="Arial" w:eastAsia="Arial" w:hAnsi="Arial"/>
                <w:b w:val="false"/>
                <w:bCs w:val="false"/>
                <w:i w:val="false"/>
                <w:iCs w:val="false"/>
                <w:sz w:val="15"/>
                <w:szCs w:val="15"/>
              </w:rPr>
              <w:t xml:space="preserve"/>
            </w:r>
          </w:p>
          <w:p>
            <w:pPr>
              <w:spacing w:after="30" w:line="250"/>
              <w:jc w:val="left"/>
            </w:pPr>
            <w:r>
              <w:rPr>
                <w:rFonts w:ascii="Arial" w:cs="Arial" w:eastAsia="Arial" w:hAnsi="Arial"/>
                <w:b w:val="false"/>
                <w:bCs w:val="false"/>
                <w:i w:val="false"/>
                <w:iCs w:val="false"/>
                <w:sz w:val="15"/>
                <w:szCs w:val="15"/>
              </w:rPr>
              <w:t xml:space="preserve">Broker and society tie-ups</w:t>
            </w:r>
          </w:p>
          <w:p>
            <w:pPr>
              <w:spacing w:after="30" w:line="250"/>
              <w:jc w:val="left"/>
            </w:pPr>
            <w:r>
              <w:rPr>
                <w:rFonts w:ascii="Arial" w:cs="Arial" w:eastAsia="Arial" w:hAnsi="Arial"/>
                <w:b w:val="false"/>
                <w:bCs w:val="false"/>
                <w:i w:val="false"/>
                <w:iCs w:val="false"/>
                <w:sz w:val="15"/>
                <w:szCs w:val="15"/>
              </w:rPr>
              <w:t xml:space="preserve">Google local search / Maps</w:t>
            </w:r>
          </w:p>
          <w:p>
            <w:pPr>
              <w:spacing w:after="30" w:line="250"/>
              <w:jc w:val="left"/>
            </w:pPr>
            <w:r>
              <w:rPr>
                <w:rFonts w:ascii="Arial" w:cs="Arial" w:eastAsia="Arial" w:hAnsi="Arial"/>
                <w:b w:val="false"/>
                <w:bCs w:val="false"/>
                <w:i w:val="false"/>
                <w:iCs w:val="false"/>
                <w:sz w:val="15"/>
                <w:szCs w:val="15"/>
              </w:rPr>
              <w:t xml:space="preserve">Instagram and WhatsApp link</w:t>
            </w:r>
          </w:p>
          <w:p>
            <w:pPr>
              <w:spacing w:after="30" w:line="250"/>
              <w:jc w:val="left"/>
            </w:pPr>
            <w:r>
              <w:rPr>
                <w:rFonts w:ascii="Arial" w:cs="Arial" w:eastAsia="Arial" w:hAnsi="Arial"/>
                <w:b w:val="false"/>
                <w:bCs w:val="false"/>
                <w:i w:val="false"/>
                <w:iCs w:val="false"/>
                <w:sz w:val="15"/>
                <w:szCs w:val="15"/>
              </w:rPr>
              <w:t xml:space="preserve">QR flyers and referrals</w:t>
            </w:r>
          </w:p>
        </w:tc>
        <w:tc>
          <w:tcPr>
            <w:tcW w:type="dxa" w:w="19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5"/>
                <w:szCs w:val="15"/>
              </w:rPr>
              <w:t xml:space="preserve">Renters moving between apartments: young professionals, flat-sharers, small families</w:t>
            </w:r>
          </w:p>
          <w:p>
            <w:pPr>
              <w:spacing w:after="30" w:line="250"/>
              <w:jc w:val="left"/>
            </w:pPr>
            <w:r>
              <w:rPr>
                <w:rFonts w:ascii="Arial" w:cs="Arial" w:eastAsia="Arial" w:hAnsi="Arial"/>
                <w:b w:val="false"/>
                <w:bCs w:val="false"/>
                <w:i w:val="false"/>
                <w:iCs w:val="false"/>
                <w:sz w:val="15"/>
                <w:szCs w:val="15"/>
              </w:rPr>
              <w:t xml:space="preserve">Students (seasonal)</w:t>
            </w:r>
          </w:p>
          <w:p>
            <w:pPr>
              <w:spacing w:after="30" w:line="250"/>
              <w:jc w:val="left"/>
            </w:pPr>
            <w:r>
              <w:rPr>
                <w:rFonts w:ascii="Arial" w:cs="Arial" w:eastAsia="Arial" w:hAnsi="Arial"/>
                <w:b w:val="false"/>
                <w:bCs w:val="false"/>
                <w:i w:val="false"/>
                <w:iCs w:val="false"/>
                <w:sz w:val="15"/>
                <w:szCs w:val="15"/>
              </w:rPr>
              <w:t xml:space="preserve">B2B: brokers, PGs, co-living operators</w:t>
            </w:r>
          </w:p>
        </w:tc>
      </w:tr>
      <w:tr>
        <w:tc>
          <w:tcPr>
            <w:tcW w:type="dxa" w:w="3850"/>
            <w:gridSpan w:val="2"/>
            <w:tcBorders>
              <w:top w:val="single" w:color="A6A6A6" w:sz="4"/>
              <w:left w:val="single" w:color="A6A6A6" w:sz="4"/>
              <w:bottom w:val="single" w:color="A6A6A6" w:sz="4"/>
              <w:right w:val="single" w:color="A6A6A6" w:sz="4"/>
            </w:tcBorders>
            <w:shd w:fill="F7F7F7" w:color="auto" w:val="clear"/>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5"/>
                <w:szCs w:val="15"/>
              </w:rPr>
              <w:t xml:space="preserve"/>
            </w:r>
            <w:r>
              <w:rPr>
                <w:rFonts w:ascii="Arial" w:cs="Arial" w:eastAsia="Arial" w:hAnsi="Arial"/>
                <w:b/>
                <w:bCs/>
                <w:i w:val="false"/>
                <w:iCs w:val="false"/>
                <w:sz w:val="15"/>
                <w:szCs w:val="15"/>
              </w:rPr>
              <w:t xml:space="preserve">Cost Structure</w:t>
            </w:r>
            <w:r>
              <w:rPr>
                <w:rFonts w:ascii="Arial" w:cs="Arial" w:eastAsia="Arial" w:hAnsi="Arial"/>
                <w:b w:val="false"/>
                <w:bCs w:val="false"/>
                <w:i w:val="false"/>
                <w:iCs w:val="false"/>
                <w:sz w:val="15"/>
                <w:szCs w:val="15"/>
              </w:rPr>
              <w:t xml:space="preserve"/>
            </w:r>
          </w:p>
          <w:p>
            <w:pPr>
              <w:spacing w:after="30" w:line="250"/>
              <w:jc w:val="left"/>
            </w:pPr>
            <w:r>
              <w:rPr>
                <w:rFonts w:ascii="Arial" w:cs="Arial" w:eastAsia="Arial" w:hAnsi="Arial"/>
                <w:b w:val="false"/>
                <w:bCs w:val="false"/>
                <w:i w:val="false"/>
                <w:iCs w:val="false"/>
                <w:sz w:val="15"/>
                <w:szCs w:val="15"/>
              </w:rPr>
              <w:t xml:space="preserve">Box purchase (₹420 each; ₹14 per rental depreciation)</w:t>
            </w:r>
          </w:p>
          <w:p>
            <w:pPr>
              <w:spacing w:after="30" w:line="250"/>
              <w:jc w:val="left"/>
            </w:pPr>
            <w:r>
              <w:rPr>
                <w:rFonts w:ascii="Arial" w:cs="Arial" w:eastAsia="Arial" w:hAnsi="Arial"/>
                <w:b w:val="false"/>
                <w:bCs w:val="false"/>
                <w:i w:val="false"/>
                <w:iCs w:val="false"/>
                <w:sz w:val="15"/>
                <w:szCs w:val="15"/>
              </w:rPr>
              <w:t xml:space="preserve">Logistics (about ₹9 per box)</w:t>
            </w:r>
          </w:p>
          <w:p>
            <w:pPr>
              <w:spacing w:after="30" w:line="250"/>
              <w:jc w:val="left"/>
            </w:pPr>
            <w:r>
              <w:rPr>
                <w:rFonts w:ascii="Arial" w:cs="Arial" w:eastAsia="Arial" w:hAnsi="Arial"/>
                <w:b w:val="false"/>
                <w:bCs w:val="false"/>
                <w:i w:val="false"/>
                <w:iCs w:val="false"/>
                <w:sz w:val="15"/>
                <w:szCs w:val="15"/>
              </w:rPr>
              <w:t xml:space="preserve">Cleaning and repair (about ₹4)</w:t>
            </w:r>
          </w:p>
          <w:p>
            <w:pPr>
              <w:spacing w:after="30" w:line="250"/>
              <w:jc w:val="left"/>
            </w:pPr>
            <w:r>
              <w:rPr>
                <w:rFonts w:ascii="Arial" w:cs="Arial" w:eastAsia="Arial" w:hAnsi="Arial"/>
                <w:b w:val="false"/>
                <w:bCs w:val="false"/>
                <w:i w:val="false"/>
                <w:iCs w:val="false"/>
                <w:sz w:val="15"/>
                <w:szCs w:val="15"/>
              </w:rPr>
              <w:t xml:space="preserve">Hub rent and staff, marketing and referral payouts</w:t>
            </w:r>
          </w:p>
          <w:p>
            <w:pPr>
              <w:spacing w:after="30" w:line="250"/>
              <w:jc w:val="left"/>
            </w:pPr>
            <w:r>
              <w:rPr>
                <w:rFonts w:ascii="Arial" w:cs="Arial" w:eastAsia="Arial" w:hAnsi="Arial"/>
                <w:b w:val="false"/>
                <w:bCs w:val="false"/>
                <w:i w:val="false"/>
                <w:iCs w:val="false"/>
                <w:sz w:val="15"/>
                <w:szCs w:val="15"/>
              </w:rPr>
              <w:t xml:space="preserve">Payment fees, loss and damage allowance</w:t>
            </w:r>
          </w:p>
        </w:tc>
        <w:tc>
          <w:tcPr>
            <w:tcW w:type="dxa" w:w="5788"/>
            <w:gridSpan w:val="3"/>
            <w:tcBorders>
              <w:top w:val="single" w:color="A6A6A6" w:sz="4"/>
              <w:left w:val="single" w:color="A6A6A6" w:sz="4"/>
              <w:bottom w:val="single" w:color="A6A6A6" w:sz="4"/>
              <w:right w:val="single" w:color="A6A6A6" w:sz="4"/>
            </w:tcBorders>
            <w:shd w:fill="F7F7F7" w:color="auto" w:val="clear"/>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5"/>
                <w:szCs w:val="15"/>
              </w:rPr>
              <w:t xml:space="preserve"/>
            </w:r>
            <w:r>
              <w:rPr>
                <w:rFonts w:ascii="Arial" w:cs="Arial" w:eastAsia="Arial" w:hAnsi="Arial"/>
                <w:b/>
                <w:bCs/>
                <w:i w:val="false"/>
                <w:iCs w:val="false"/>
                <w:sz w:val="15"/>
                <w:szCs w:val="15"/>
              </w:rPr>
              <w:t xml:space="preserve">Revenue Streams</w:t>
            </w:r>
            <w:r>
              <w:rPr>
                <w:rFonts w:ascii="Arial" w:cs="Arial" w:eastAsia="Arial" w:hAnsi="Arial"/>
                <w:b w:val="false"/>
                <w:bCs w:val="false"/>
                <w:i w:val="false"/>
                <w:iCs w:val="false"/>
                <w:sz w:val="15"/>
                <w:szCs w:val="15"/>
              </w:rPr>
              <w:t xml:space="preserve"/>
            </w:r>
          </w:p>
          <w:p>
            <w:pPr>
              <w:spacing w:after="30" w:line="250"/>
              <w:jc w:val="left"/>
            </w:pPr>
            <w:r>
              <w:rPr>
                <w:rFonts w:ascii="Arial" w:cs="Arial" w:eastAsia="Arial" w:hAnsi="Arial"/>
                <w:b w:val="false"/>
                <w:bCs w:val="false"/>
                <w:i w:val="false"/>
                <w:iCs w:val="false"/>
                <w:sz w:val="15"/>
                <w:szCs w:val="15"/>
              </w:rPr>
              <w:t xml:space="preserve">Rental: ₹35 per box per 7 days</w:t>
            </w:r>
          </w:p>
          <w:p>
            <w:pPr>
              <w:spacing w:after="30" w:line="250"/>
              <w:jc w:val="left"/>
            </w:pPr>
            <w:r>
              <w:rPr>
                <w:rFonts w:ascii="Arial" w:cs="Arial" w:eastAsia="Arial" w:hAnsi="Arial"/>
                <w:b w:val="false"/>
                <w:bCs w:val="false"/>
                <w:i w:val="false"/>
                <w:iCs w:val="false"/>
                <w:sz w:val="15"/>
                <w:szCs w:val="15"/>
              </w:rPr>
              <w:t xml:space="preserve">Delivery fee: ₹100 per order</w:t>
            </w:r>
          </w:p>
          <w:p>
            <w:pPr>
              <w:spacing w:after="30" w:line="250"/>
              <w:jc w:val="left"/>
            </w:pPr>
            <w:r>
              <w:rPr>
                <w:rFonts w:ascii="Arial" w:cs="Arial" w:eastAsia="Arial" w:hAnsi="Arial"/>
                <w:b w:val="false"/>
                <w:bCs w:val="false"/>
                <w:i w:val="false"/>
                <w:iCs w:val="false"/>
                <w:sz w:val="15"/>
                <w:szCs w:val="15"/>
              </w:rPr>
              <w:t xml:space="preserve">Late / extension fee: ₹5 per box per day</w:t>
            </w:r>
          </w:p>
          <w:p>
            <w:pPr>
              <w:spacing w:after="30" w:line="250"/>
              <w:jc w:val="left"/>
            </w:pPr>
            <w:r>
              <w:rPr>
                <w:rFonts w:ascii="Arial" w:cs="Arial" w:eastAsia="Arial" w:hAnsi="Arial"/>
                <w:b w:val="false"/>
                <w:bCs w:val="false"/>
                <w:i w:val="false"/>
                <w:iCs w:val="false"/>
                <w:sz w:val="15"/>
                <w:szCs w:val="15"/>
              </w:rPr>
              <w:t xml:space="preserve">Loss and damage fees</w:t>
            </w:r>
          </w:p>
          <w:p>
            <w:pPr>
              <w:spacing w:after="30" w:line="250"/>
              <w:jc w:val="left"/>
            </w:pPr>
            <w:r>
              <w:rPr>
                <w:rFonts w:ascii="Arial" w:cs="Arial" w:eastAsia="Arial" w:hAnsi="Arial"/>
                <w:b w:val="false"/>
                <w:bCs w:val="false"/>
                <w:i w:val="false"/>
                <w:iCs w:val="false"/>
                <w:sz w:val="15"/>
                <w:szCs w:val="15"/>
              </w:rPr>
              <w:t xml:space="preserve">Packing add-ons (tape, wrap)</w:t>
            </w:r>
          </w:p>
          <w:p>
            <w:pPr>
              <w:spacing w:after="30" w:line="250"/>
              <w:jc w:val="left"/>
            </w:pPr>
            <w:r>
              <w:rPr>
                <w:rFonts w:ascii="Arial" w:cs="Arial" w:eastAsia="Arial" w:hAnsi="Arial"/>
                <w:b w:val="false"/>
                <w:bCs w:val="false"/>
                <w:i w:val="false"/>
                <w:iCs w:val="false"/>
                <w:sz w:val="15"/>
                <w:szCs w:val="15"/>
              </w:rPr>
              <w:t xml:space="preserve">B2B partner bundles; recycled plastic value at end of life</w:t>
            </w:r>
          </w:p>
        </w:tc>
      </w:tr>
    </w:tbl>
    <w:p>
      <w:pPr>
        <w:pStyle w:val="Heading1"/>
        <w:keepNext/>
      </w:pPr>
      <w:r>
        <w:rPr>
          <w:rFonts w:ascii="Arial" w:cs="Arial" w:eastAsia="Arial" w:hAnsi="Arial"/>
        </w:rPr>
        <w:t xml:space="preserve">4. Methods, Frameworks &amp; Tools Applied in the Case Study</w:t>
      </w:r>
    </w:p>
    <w:p>
      <w:pPr>
        <w:spacing w:after="110" w:before="0" w:line="276"/>
        <w:jc w:val="left"/>
      </w:pPr>
      <w:r>
        <w:rPr>
          <w:rFonts w:ascii="Arial" w:cs="Arial" w:eastAsia="Arial" w:hAnsi="Arial"/>
          <w:b w:val="false"/>
          <w:bCs w:val="false"/>
          <w:i w:val="false"/>
          <w:iCs w:val="false"/>
        </w:rPr>
        <w:t xml:space="preserve">Key methods and concepts:</w:t>
      </w:r>
    </w:p>
    <w:p>
      <w:pPr>
        <w:pStyle w:val="ListParagraph"/>
        <w:numPr>
          <w:ilvl w:val="0"/>
          <w:numId w:val="3"/>
        </w:numPr>
        <w:spacing w:after="60" w:line="264"/>
      </w:pPr>
      <w:r>
        <w:rPr>
          <w:rFonts w:ascii="Arial" w:cs="Arial" w:eastAsia="Arial" w:hAnsi="Arial"/>
          <w:b w:val="false"/>
          <w:bCs w:val="false"/>
          <w:i w:val="false"/>
          <w:iCs w:val="false"/>
        </w:rPr>
        <w:t xml:space="preserve"/>
      </w:r>
      <w:r>
        <w:rPr>
          <w:rFonts w:ascii="Arial" w:cs="Arial" w:eastAsia="Arial" w:hAnsi="Arial"/>
          <w:b/>
          <w:bCs/>
          <w:i w:val="false"/>
          <w:iCs w:val="false"/>
        </w:rPr>
        <w:t xml:space="preserve">Problem and opportunity framing</w:t>
      </w:r>
      <w:r>
        <w:rPr>
          <w:rFonts w:ascii="Arial" w:cs="Arial" w:eastAsia="Arial" w:hAnsi="Arial"/>
          <w:b w:val="false"/>
          <w:bCs w:val="false"/>
          <w:i w:val="false"/>
          <w:iCs w:val="false"/>
        </w:rPr>
        <w:t xml:space="preserve"> – converting the customer pain into a clear problem statement and a “what we can do” opportunity statement.</w:t>
      </w:r>
    </w:p>
    <w:p>
      <w:pPr>
        <w:pStyle w:val="ListParagraph"/>
        <w:numPr>
          <w:ilvl w:val="0"/>
          <w:numId w:val="3"/>
        </w:numPr>
        <w:spacing w:after="60" w:line="264"/>
      </w:pPr>
      <w:r>
        <w:rPr>
          <w:rFonts w:ascii="Arial" w:cs="Arial" w:eastAsia="Arial" w:hAnsi="Arial"/>
          <w:b w:val="false"/>
          <w:bCs w:val="false"/>
          <w:i w:val="false"/>
          <w:iCs w:val="false"/>
        </w:rPr>
        <w:t xml:space="preserve"/>
      </w:r>
      <w:r>
        <w:rPr>
          <w:rFonts w:ascii="Arial" w:cs="Arial" w:eastAsia="Arial" w:hAnsi="Arial"/>
          <w:b/>
          <w:bCs/>
          <w:i w:val="false"/>
          <w:iCs w:val="false"/>
        </w:rPr>
        <w:t xml:space="preserve">Segmentation and persona</w:t>
      </w:r>
      <w:r>
        <w:rPr>
          <w:rFonts w:ascii="Arial" w:cs="Arial" w:eastAsia="Arial" w:hAnsi="Arial"/>
          <w:b w:val="false"/>
          <w:bCs w:val="false"/>
          <w:i w:val="false"/>
          <w:iCs w:val="false"/>
        </w:rPr>
        <w:t xml:space="preserve"> – primary, secondary, seasonal and channel segments; one detailed persona.</w:t>
      </w:r>
    </w:p>
    <w:p>
      <w:pPr>
        <w:pStyle w:val="ListParagraph"/>
        <w:numPr>
          <w:ilvl w:val="0"/>
          <w:numId w:val="3"/>
        </w:numPr>
        <w:spacing w:after="60" w:line="264"/>
      </w:pPr>
      <w:r>
        <w:rPr>
          <w:rFonts w:ascii="Arial" w:cs="Arial" w:eastAsia="Arial" w:hAnsi="Arial"/>
          <w:b w:val="false"/>
          <w:bCs w:val="false"/>
          <w:i w:val="false"/>
          <w:iCs w:val="false"/>
        </w:rPr>
        <w:t xml:space="preserve"/>
      </w:r>
      <w:r>
        <w:rPr>
          <w:rFonts w:ascii="Arial" w:cs="Arial" w:eastAsia="Arial" w:hAnsi="Arial"/>
          <w:b/>
          <w:bCs/>
          <w:i w:val="false"/>
          <w:iCs w:val="false"/>
        </w:rPr>
        <w:t xml:space="preserve">Value Proposition Canvas</w:t>
      </w:r>
      <w:r>
        <w:rPr>
          <w:rFonts w:ascii="Arial" w:cs="Arial" w:eastAsia="Arial" w:hAnsi="Arial"/>
          <w:b w:val="false"/>
          <w:bCs w:val="false"/>
          <w:i w:val="false"/>
          <w:iCs w:val="false"/>
        </w:rPr>
        <w:t xml:space="preserve"> – matching customer jobs, pains and gains to pain relievers and gain creators.</w:t>
      </w:r>
    </w:p>
    <w:p>
      <w:pPr>
        <w:pStyle w:val="ListParagraph"/>
        <w:numPr>
          <w:ilvl w:val="0"/>
          <w:numId w:val="3"/>
        </w:numPr>
        <w:spacing w:after="60" w:line="264"/>
      </w:pPr>
      <w:r>
        <w:rPr>
          <w:rFonts w:ascii="Arial" w:cs="Arial" w:eastAsia="Arial" w:hAnsi="Arial"/>
          <w:b w:val="false"/>
          <w:bCs w:val="false"/>
          <w:i w:val="false"/>
          <w:iCs w:val="false"/>
        </w:rPr>
        <w:t xml:space="preserve"/>
      </w:r>
      <w:r>
        <w:rPr>
          <w:rFonts w:ascii="Arial" w:cs="Arial" w:eastAsia="Arial" w:hAnsi="Arial"/>
          <w:b/>
          <w:bCs/>
          <w:i w:val="false"/>
          <w:iCs w:val="false"/>
        </w:rPr>
        <w:t xml:space="preserve">Customer journey mapping and service touchpoints</w:t>
      </w:r>
      <w:r>
        <w:rPr>
          <w:rFonts w:ascii="Arial" w:cs="Arial" w:eastAsia="Arial" w:hAnsi="Arial"/>
          <w:b w:val="false"/>
          <w:bCs w:val="false"/>
          <w:i w:val="false"/>
          <w:iCs w:val="false"/>
        </w:rPr>
        <w:t xml:space="preserve"> – seven stages from awareness to refund.</w:t>
      </w:r>
    </w:p>
    <w:p>
      <w:pPr>
        <w:pStyle w:val="ListParagraph"/>
        <w:numPr>
          <w:ilvl w:val="0"/>
          <w:numId w:val="3"/>
        </w:numPr>
        <w:spacing w:after="60" w:line="264"/>
      </w:pPr>
      <w:r>
        <w:rPr>
          <w:rFonts w:ascii="Arial" w:cs="Arial" w:eastAsia="Arial" w:hAnsi="Arial"/>
          <w:b w:val="false"/>
          <w:bCs w:val="false"/>
          <w:i w:val="false"/>
          <w:iCs w:val="false"/>
        </w:rPr>
        <w:t xml:space="preserve"/>
      </w:r>
      <w:r>
        <w:rPr>
          <w:rFonts w:ascii="Arial" w:cs="Arial" w:eastAsia="Arial" w:hAnsi="Arial"/>
          <w:b/>
          <w:bCs/>
          <w:i w:val="false"/>
          <w:iCs w:val="false"/>
        </w:rPr>
        <w:t xml:space="preserve">Operations / supply-chain flow design</w:t>
      </w:r>
      <w:r>
        <w:rPr>
          <w:rFonts w:ascii="Arial" w:cs="Arial" w:eastAsia="Arial" w:hAnsi="Arial"/>
          <w:b w:val="false"/>
          <w:bCs w:val="false"/>
          <w:i w:val="false"/>
          <w:iCs w:val="false"/>
        </w:rPr>
        <w:t xml:space="preserve"> – forward logistics (delivery) and reverse logistics (pickup, cleaning, redeployment).</w:t>
      </w:r>
    </w:p>
    <w:p>
      <w:pPr>
        <w:pStyle w:val="ListParagraph"/>
        <w:numPr>
          <w:ilvl w:val="0"/>
          <w:numId w:val="3"/>
        </w:numPr>
        <w:spacing w:after="60" w:line="264"/>
      </w:pPr>
      <w:r>
        <w:rPr>
          <w:rFonts w:ascii="Arial" w:cs="Arial" w:eastAsia="Arial" w:hAnsi="Arial"/>
          <w:b w:val="false"/>
          <w:bCs w:val="false"/>
          <w:i w:val="false"/>
          <w:iCs w:val="false"/>
        </w:rPr>
        <w:t xml:space="preserve"/>
      </w:r>
      <w:r>
        <w:rPr>
          <w:rFonts w:ascii="Arial" w:cs="Arial" w:eastAsia="Arial" w:hAnsi="Arial"/>
          <w:b/>
          <w:bCs/>
          <w:i w:val="false"/>
          <w:iCs w:val="false"/>
        </w:rPr>
        <w:t xml:space="preserve">Unit economics</w:t>
      </w:r>
      <w:r>
        <w:rPr>
          <w:rFonts w:ascii="Arial" w:cs="Arial" w:eastAsia="Arial" w:hAnsi="Arial"/>
          <w:b w:val="false"/>
          <w:bCs w:val="false"/>
          <w:i w:val="false"/>
          <w:iCs w:val="false"/>
        </w:rPr>
        <w:t xml:space="preserve"> – revenue per rental, variable cost per rental, contribution margin, break-even cycles, utilisation and payback.</w:t>
      </w:r>
    </w:p>
    <w:p>
      <w:pPr>
        <w:pStyle w:val="ListParagraph"/>
        <w:numPr>
          <w:ilvl w:val="0"/>
          <w:numId w:val="3"/>
        </w:numPr>
        <w:spacing w:after="60" w:line="264"/>
      </w:pPr>
      <w:r>
        <w:rPr>
          <w:rFonts w:ascii="Arial" w:cs="Arial" w:eastAsia="Arial" w:hAnsi="Arial"/>
          <w:b w:val="false"/>
          <w:bCs w:val="false"/>
          <w:i w:val="false"/>
          <w:iCs w:val="false"/>
        </w:rPr>
        <w:t xml:space="preserve"/>
      </w:r>
      <w:r>
        <w:rPr>
          <w:rFonts w:ascii="Arial" w:cs="Arial" w:eastAsia="Arial" w:hAnsi="Arial"/>
          <w:b/>
          <w:bCs/>
          <w:i w:val="false"/>
          <w:iCs w:val="false"/>
        </w:rPr>
        <w:t xml:space="preserve">SWOT analysis and risk register</w:t>
      </w:r>
      <w:r>
        <w:rPr>
          <w:rFonts w:ascii="Arial" w:cs="Arial" w:eastAsia="Arial" w:hAnsi="Arial"/>
          <w:b w:val="false"/>
          <w:bCs w:val="false"/>
          <w:i w:val="false"/>
          <w:iCs w:val="false"/>
        </w:rPr>
        <w:t xml:space="preserve"> – likelihood, impact and mitigation for seven risks.</w:t>
      </w:r>
    </w:p>
    <w:p>
      <w:pPr>
        <w:pStyle w:val="ListParagraph"/>
        <w:numPr>
          <w:ilvl w:val="0"/>
          <w:numId w:val="3"/>
        </w:numPr>
        <w:spacing w:after="60" w:line="264"/>
      </w:pPr>
      <w:r>
        <w:rPr>
          <w:rFonts w:ascii="Arial" w:cs="Arial" w:eastAsia="Arial" w:hAnsi="Arial"/>
          <w:b w:val="false"/>
          <w:bCs w:val="false"/>
          <w:i w:val="false"/>
          <w:iCs w:val="false"/>
        </w:rPr>
        <w:t xml:space="preserve"/>
      </w:r>
      <w:r>
        <w:rPr>
          <w:rFonts w:ascii="Arial" w:cs="Arial" w:eastAsia="Arial" w:hAnsi="Arial"/>
          <w:b/>
          <w:bCs/>
          <w:i w:val="false"/>
          <w:iCs w:val="false"/>
        </w:rPr>
        <w:t xml:space="preserve">Business Model Canvas and go-to-market planning</w:t>
      </w:r>
      <w:r>
        <w:rPr>
          <w:rFonts w:ascii="Arial" w:cs="Arial" w:eastAsia="Arial" w:hAnsi="Arial"/>
          <w:b w:val="false"/>
          <w:bCs w:val="false"/>
          <w:i w:val="false"/>
          <w:iCs w:val="false"/>
        </w:rPr>
        <w:t xml:space="preserve"> – model choice, two acquisition channels, 90-day pilot with KPIs.</w:t>
      </w:r>
    </w:p>
    <w:p>
      <w:pPr>
        <w:pStyle w:val="Heading2"/>
        <w:keepNext/>
      </w:pPr>
      <w:r>
        <w:rPr>
          <w:rFonts w:ascii="Arial" w:cs="Arial" w:eastAsia="Arial" w:hAnsi="Arial"/>
        </w:rPr>
        <w:t xml:space="preserve">Tools Used for the Case</w:t>
      </w:r>
    </w:p>
    <w:p>
      <w:pPr>
        <w:pStyle w:val="ListParagraph"/>
        <w:numPr>
          <w:ilvl w:val="0"/>
          <w:numId w:val="3"/>
        </w:numPr>
        <w:spacing w:after="60" w:line="264"/>
      </w:pPr>
      <w:r>
        <w:rPr>
          <w:rFonts w:ascii="Arial" w:cs="Arial" w:eastAsia="Arial" w:hAnsi="Arial"/>
          <w:b w:val="false"/>
          <w:bCs w:val="false"/>
          <w:i w:val="false"/>
          <w:iCs w:val="false"/>
        </w:rPr>
        <w:t xml:space="preserve">Analysis and calculations: worked by hand and checked in Python.</w:t>
      </w:r>
    </w:p>
    <w:p>
      <w:pPr>
        <w:pStyle w:val="ListParagraph"/>
        <w:numPr>
          <w:ilvl w:val="0"/>
          <w:numId w:val="3"/>
        </w:numPr>
        <w:spacing w:after="60" w:line="264"/>
      </w:pPr>
      <w:r>
        <w:rPr>
          <w:rFonts w:ascii="Arial" w:cs="Arial" w:eastAsia="Arial" w:hAnsi="Arial"/>
          <w:b w:val="false"/>
          <w:bCs w:val="false"/>
          <w:i w:val="false"/>
          <w:iCs w:val="false"/>
        </w:rPr>
        <w:t xml:space="preserve">Diagrams and charts: Python (matplotlib) for the operating-flow and break-even figures.</w:t>
      </w:r>
    </w:p>
    <w:p>
      <w:pPr>
        <w:pStyle w:val="ListParagraph"/>
        <w:numPr>
          <w:ilvl w:val="0"/>
          <w:numId w:val="3"/>
        </w:numPr>
        <w:spacing w:after="60" w:line="264"/>
      </w:pPr>
      <w:r>
        <w:rPr>
          <w:rFonts w:ascii="Arial" w:cs="Arial" w:eastAsia="Arial" w:hAnsi="Arial"/>
          <w:b w:val="false"/>
          <w:bCs w:val="false"/>
          <w:i w:val="false"/>
          <w:iCs w:val="false"/>
        </w:rPr>
        <w:t xml:space="preserve">Proposed operating tools: WhatsApp Business or a simple web form for booking, UPI payment links for deposits, QR codes with a Google Sheets / Airtable inventory for tracking.</w:t>
      </w:r>
    </w:p>
    <w:p>
      <w:pPr>
        <w:pStyle w:val="ListParagraph"/>
        <w:numPr>
          <w:ilvl w:val="0"/>
          <w:numId w:val="3"/>
        </w:numPr>
        <w:spacing w:after="60" w:line="264"/>
      </w:pPr>
      <w:r>
        <w:rPr>
          <w:rFonts w:ascii="Arial" w:cs="Arial" w:eastAsia="Arial" w:hAnsi="Arial"/>
          <w:b w:val="false"/>
          <w:bCs w:val="false"/>
          <w:i w:val="false"/>
          <w:iCs w:val="false"/>
        </w:rPr>
        <w:t xml:space="preserve">Report format: Word document following the School of Future Tech case study template.</w:t>
      </w:r>
    </w:p>
    <w:p>
      <w:pPr>
        <w:pStyle w:val="Heading1"/>
        <w:keepNext/>
      </w:pPr>
      <w:r>
        <w:rPr>
          <w:rFonts w:ascii="Arial" w:cs="Arial" w:eastAsia="Arial" w:hAnsi="Arial"/>
        </w:rPr>
        <w:t xml:space="preserve">5. Case Study Implementation Details and Snapshots</w:t>
      </w:r>
    </w:p>
    <w:p>
      <w:pPr>
        <w:spacing w:after="110" w:before="0" w:line="276"/>
        <w:jc w:val="left"/>
      </w:pPr>
      <w:r>
        <w:rPr>
          <w:rFonts w:ascii="Arial" w:cs="Arial" w:eastAsia="Arial" w:hAnsi="Arial"/>
          <w:b w:val="false"/>
          <w:bCs w:val="false"/>
          <w:i w:val="false"/>
          <w:iCs w:val="false"/>
        </w:rPr>
        <w:t xml:space="preserve">The plan was developed in the following stages: (1) process design for booking, deposit and tracking; (2) financial model and reuse-cycle calculation; (3) SWOT and risk analysis; (4) business model and go-to-market choice; (5) 90-day pilot plan.</w:t>
      </w:r>
    </w:p>
    <w:p>
      <w:pPr>
        <w:pStyle w:val="Heading2"/>
        <w:keepNext/>
      </w:pPr>
      <w:r>
        <w:rPr>
          <w:rFonts w:ascii="Arial" w:cs="Arial" w:eastAsia="Arial" w:hAnsi="Arial"/>
        </w:rPr>
        <w:t xml:space="preserve">5.1 Essential Booking, Deposit and Tracking Processes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438"/>
      </w:tblGrid>
      <w:tr>
        <w:trPr>
          <w:tblHeader/>
        </w:trPr>
        <w:tc>
          <w:tcPr>
            <w:tcW w:type="dxa" w:w="16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6"/>
                <w:szCs w:val="16"/>
              </w:rPr>
              <w:t xml:space="preserve">Process</w:t>
            </w:r>
          </w:p>
        </w:tc>
        <w:tc>
          <w:tcPr>
            <w:tcW w:type="dxa" w:w="46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6"/>
                <w:szCs w:val="16"/>
              </w:rPr>
              <w:t xml:space="preserve">Design decision</w:t>
            </w:r>
          </w:p>
        </w:tc>
        <w:tc>
          <w:tcPr>
            <w:tcW w:type="dxa" w:w="3438"/>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6"/>
                <w:szCs w:val="16"/>
              </w:rPr>
              <w:t xml:space="preserve">Why</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6"/>
                <w:szCs w:val="16"/>
              </w:rPr>
              <w:t xml:space="preserve">Booking</w:t>
            </w:r>
          </w:p>
        </w:tc>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WhatsApp or web form; minimum 10 boxes; 2-hour delivery slot; map pin or pincode checked against the 5-km zone</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Keeps deliveries batched and inside the profitable area</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6"/>
                <w:szCs w:val="16"/>
              </w:rPr>
              <w:t xml:space="preserve">Deposit</w:t>
            </w:r>
          </w:p>
        </w:tc>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₹100 refundable deposit per box, paid by UPI; refund within 24 hours of inspection</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Covers about 24% of box cost without scaring customers (a full ₹420 deposit on 20 boxes would be ₹8,400)</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6"/>
                <w:szCs w:val="16"/>
              </w:rPr>
              <w:t xml:space="preserve">Loss and damage</w:t>
            </w:r>
          </w:p>
        </w:tc>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Unrecoverable box charged ₹420 (deposit adjusted first); damaged boxes charged by grade; UPI mandate or card pre-authorisation for the balance</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Protects the asset; the fee equals replacement cost</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6"/>
                <w:szCs w:val="16"/>
              </w:rPr>
              <w:t xml:space="preserve">Rental period and fees</w:t>
            </w:r>
          </w:p>
        </w:tc>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₹35 per box for 7 days; extension or late fee ₹5 per box per day (= ₹35 / 7); delivery fee ₹100 per order</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Fair pro-rata pricing; delivery fee funds logistics</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6"/>
                <w:szCs w:val="16"/>
              </w:rPr>
              <w:t xml:space="preserve">Tracking</w:t>
            </w:r>
          </w:p>
        </w:tc>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Unique QR on every box, scanned at hub-out, delivery, pickup and wash-in; status: In hub, With customer, Cleaning, Repair, Retired; cycle counter per box</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Real-time stock, accountability, and retirement at about 30 cycles</w:t>
            </w:r>
          </w:p>
        </w:tc>
      </w:tr>
    </w:tbl>
    <w:p>
      <w:pPr>
        <w:pStyle w:val="Heading2"/>
        <w:keepNext/>
      </w:pPr>
      <w:r>
        <w:rPr>
          <w:rFonts w:ascii="Arial" w:cs="Arial" w:eastAsia="Arial" w:hAnsi="Arial"/>
        </w:rPr>
        <w:t xml:space="preserve">5.2 Financial Model and Reuse-Cycle Calculation</w:t>
      </w:r>
    </w:p>
    <w:p>
      <w:pPr>
        <w:spacing w:after="110" w:before="0" w:line="276"/>
        <w:jc w:val="left"/>
      </w:pPr>
      <w:r>
        <w:rPr>
          <w:rFonts w:ascii="Arial" w:cs="Arial" w:eastAsia="Arial" w:hAnsi="Arial"/>
          <w:b w:val="false"/>
          <w:bCs w:val="false"/>
          <w:i w:val="false"/>
          <w:iCs w:val="false"/>
        </w:rPr>
        <w:t xml:space="preserve"/>
      </w:r>
      <w:r>
        <w:rPr>
          <w:rFonts w:ascii="Arial" w:cs="Arial" w:eastAsia="Arial" w:hAnsi="Arial"/>
          <w:b/>
          <w:bCs/>
          <w:i w:val="false"/>
          <w:iCs w:val="false"/>
        </w:rPr>
        <w:t xml:space="preserve">Unit economics per box-rental (assumed for a 20-box order):</w:t>
      </w:r>
      <w:r>
        <w:rPr>
          <w:rFonts w:ascii="Arial" w:cs="Arial" w:eastAsia="Arial" w:hAnsi="Arial"/>
          <w:b w:val="false"/>
          <w:bCs w:val="false"/>
          <w:i w:val="false"/>
          <w:iCs w:val="false"/>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438"/>
        <w:gridCol w:w="2000"/>
      </w:tblGrid>
      <w:tr>
        <w:trPr>
          <w:tblHeader/>
        </w:trPr>
        <w:tc>
          <w:tcPr>
            <w:tcW w:type="dxa" w:w="32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7"/>
                <w:szCs w:val="17"/>
              </w:rPr>
              <w:t xml:space="preserve">Item</w:t>
            </w:r>
          </w:p>
        </w:tc>
        <w:tc>
          <w:tcPr>
            <w:tcW w:type="dxa" w:w="4438"/>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7"/>
                <w:szCs w:val="17"/>
              </w:rPr>
              <w:t xml:space="preserve">Calculation</w:t>
            </w:r>
          </w:p>
        </w:tc>
        <w:tc>
          <w:tcPr>
            <w:tcW w:type="dxa" w:w="20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7"/>
                <w:szCs w:val="17"/>
              </w:rPr>
              <w:t xml:space="preserve">₹ per box-rental</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Rental fee</w:t>
            </w:r>
          </w:p>
        </w:tc>
        <w:tc>
          <w:tcPr>
            <w:tcW w:type="dxa" w:w="4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Given by case</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center"/>
            </w:pPr>
            <w:r>
              <w:rPr>
                <w:rFonts w:ascii="Arial" w:cs="Arial" w:eastAsia="Arial" w:hAnsi="Arial"/>
                <w:b w:val="false"/>
                <w:bCs w:val="false"/>
                <w:i w:val="false"/>
                <w:iCs w:val="false"/>
                <w:sz w:val="17"/>
                <w:szCs w:val="17"/>
              </w:rPr>
              <w:t xml:space="preserve">35</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Delivery fee share</w:t>
            </w:r>
          </w:p>
        </w:tc>
        <w:tc>
          <w:tcPr>
            <w:tcW w:type="dxa" w:w="4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₹100 order fee / 20 boxes</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center"/>
            </w:pPr>
            <w:r>
              <w:rPr>
                <w:rFonts w:ascii="Arial" w:cs="Arial" w:eastAsia="Arial" w:hAnsi="Arial"/>
                <w:b w:val="false"/>
                <w:bCs w:val="false"/>
                <w:i w:val="false"/>
                <w:iCs w:val="false"/>
                <w:sz w:val="17"/>
                <w:szCs w:val="17"/>
              </w:rPr>
              <w:t xml:space="preserve">5</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
            </w:r>
            <w:r>
              <w:rPr>
                <w:rFonts w:ascii="Arial" w:cs="Arial" w:eastAsia="Arial" w:hAnsi="Arial"/>
                <w:b/>
                <w:bCs/>
                <w:i w:val="false"/>
                <w:iCs w:val="false"/>
                <w:sz w:val="17"/>
                <w:szCs w:val="17"/>
              </w:rPr>
              <w:t xml:space="preserve">Total revenue</w:t>
            </w:r>
            <w:r>
              <w:rPr>
                <w:rFonts w:ascii="Arial" w:cs="Arial" w:eastAsia="Arial" w:hAnsi="Arial"/>
                <w:b w:val="false"/>
                <w:bCs w:val="false"/>
                <w:i w:val="false"/>
                <w:iCs w:val="false"/>
                <w:sz w:val="17"/>
                <w:szCs w:val="17"/>
              </w:rPr>
              <w:t xml:space="preserve"/>
            </w:r>
          </w:p>
        </w:tc>
        <w:tc>
          <w:tcPr>
            <w:tcW w:type="dxa" w:w="4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center"/>
            </w:pPr>
            <w:r>
              <w:rPr>
                <w:rFonts w:ascii="Arial" w:cs="Arial" w:eastAsia="Arial" w:hAnsi="Arial"/>
                <w:b w:val="false"/>
                <w:bCs w:val="false"/>
                <w:i w:val="false"/>
                <w:iCs w:val="false"/>
                <w:sz w:val="17"/>
                <w:szCs w:val="17"/>
              </w:rPr>
              <w:t xml:space="preserve"/>
            </w:r>
            <w:r>
              <w:rPr>
                <w:rFonts w:ascii="Arial" w:cs="Arial" w:eastAsia="Arial" w:hAnsi="Arial"/>
                <w:b/>
                <w:bCs/>
                <w:i w:val="false"/>
                <w:iCs w:val="false"/>
                <w:sz w:val="17"/>
                <w:szCs w:val="17"/>
              </w:rPr>
              <w:t xml:space="preserve">40</w:t>
            </w:r>
            <w:r>
              <w:rPr>
                <w:rFonts w:ascii="Arial" w:cs="Arial" w:eastAsia="Arial" w:hAnsi="Arial"/>
                <w:b w:val="false"/>
                <w:bCs w:val="false"/>
                <w:i w:val="false"/>
                <w:iCs w:val="false"/>
                <w:sz w:val="17"/>
                <w:szCs w:val="17"/>
              </w:rPr>
              <w:t xml:space="preserve"/>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Box depreciation</w:t>
            </w:r>
          </w:p>
        </w:tc>
        <w:tc>
          <w:tcPr>
            <w:tcW w:type="dxa" w:w="4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₹420 / 30 cycles</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center"/>
            </w:pPr>
            <w:r>
              <w:rPr>
                <w:rFonts w:ascii="Arial" w:cs="Arial" w:eastAsia="Arial" w:hAnsi="Arial"/>
                <w:b w:val="false"/>
                <w:bCs w:val="false"/>
                <w:i w:val="false"/>
                <w:iCs w:val="false"/>
                <w:sz w:val="17"/>
                <w:szCs w:val="17"/>
              </w:rPr>
              <w:t xml:space="preserve">14</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Cleaning and inspection</w:t>
            </w:r>
          </w:p>
        </w:tc>
        <w:tc>
          <w:tcPr>
            <w:tcW w:type="dxa" w:w="4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Wash, dry, check</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center"/>
            </w:pPr>
            <w:r>
              <w:rPr>
                <w:rFonts w:ascii="Arial" w:cs="Arial" w:eastAsia="Arial" w:hAnsi="Arial"/>
                <w:b w:val="false"/>
                <w:bCs w:val="false"/>
                <w:i w:val="false"/>
                <w:iCs w:val="false"/>
                <w:sz w:val="17"/>
                <w:szCs w:val="17"/>
              </w:rPr>
              <w:t xml:space="preserve">4</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Logistics</w:t>
            </w:r>
          </w:p>
        </w:tc>
        <w:tc>
          <w:tcPr>
            <w:tcW w:type="dxa" w:w="4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₹180 round trip (delivery and pickup) / 20 boxes</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center"/>
            </w:pPr>
            <w:r>
              <w:rPr>
                <w:rFonts w:ascii="Arial" w:cs="Arial" w:eastAsia="Arial" w:hAnsi="Arial"/>
                <w:b w:val="false"/>
                <w:bCs w:val="false"/>
                <w:i w:val="false"/>
                <w:iCs w:val="false"/>
                <w:sz w:val="17"/>
                <w:szCs w:val="17"/>
              </w:rPr>
              <w:t xml:space="preserve">9</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Payment fees</w:t>
            </w:r>
          </w:p>
        </w:tc>
        <w:tc>
          <w:tcPr>
            <w:tcW w:type="dxa" w:w="4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About 2% of revenue</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center"/>
            </w:pPr>
            <w:r>
              <w:rPr>
                <w:rFonts w:ascii="Arial" w:cs="Arial" w:eastAsia="Arial" w:hAnsi="Arial"/>
                <w:b w:val="false"/>
                <w:bCs w:val="false"/>
                <w:i w:val="false"/>
                <w:iCs w:val="false"/>
                <w:sz w:val="17"/>
                <w:szCs w:val="17"/>
              </w:rPr>
              <w:t xml:space="preserve">1</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Loss and damage allowance</w:t>
            </w:r>
          </w:p>
        </w:tc>
        <w:tc>
          <w:tcPr>
            <w:tcW w:type="dxa" w:w="4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Provision beyond the deposit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center"/>
            </w:pPr>
            <w:r>
              <w:rPr>
                <w:rFonts w:ascii="Arial" w:cs="Arial" w:eastAsia="Arial" w:hAnsi="Arial"/>
                <w:b w:val="false"/>
                <w:bCs w:val="false"/>
                <w:i w:val="false"/>
                <w:iCs w:val="false"/>
                <w:sz w:val="17"/>
                <w:szCs w:val="17"/>
              </w:rPr>
              <w:t xml:space="preserve">2</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
            </w:r>
            <w:r>
              <w:rPr>
                <w:rFonts w:ascii="Arial" w:cs="Arial" w:eastAsia="Arial" w:hAnsi="Arial"/>
                <w:b/>
                <w:bCs/>
                <w:i w:val="false"/>
                <w:iCs w:val="false"/>
                <w:sz w:val="17"/>
                <w:szCs w:val="17"/>
              </w:rPr>
              <w:t xml:space="preserve">Total variable cost</w:t>
            </w:r>
            <w:r>
              <w:rPr>
                <w:rFonts w:ascii="Arial" w:cs="Arial" w:eastAsia="Arial" w:hAnsi="Arial"/>
                <w:b w:val="false"/>
                <w:bCs w:val="false"/>
                <w:i w:val="false"/>
                <w:iCs w:val="false"/>
                <w:sz w:val="17"/>
                <w:szCs w:val="17"/>
              </w:rPr>
              <w:t xml:space="preserve"/>
            </w:r>
          </w:p>
        </w:tc>
        <w:tc>
          <w:tcPr>
            <w:tcW w:type="dxa" w:w="4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center"/>
            </w:pPr>
            <w:r>
              <w:rPr>
                <w:rFonts w:ascii="Arial" w:cs="Arial" w:eastAsia="Arial" w:hAnsi="Arial"/>
                <w:b w:val="false"/>
                <w:bCs w:val="false"/>
                <w:i w:val="false"/>
                <w:iCs w:val="false"/>
                <w:sz w:val="17"/>
                <w:szCs w:val="17"/>
              </w:rPr>
              <w:t xml:space="preserve"/>
            </w:r>
            <w:r>
              <w:rPr>
                <w:rFonts w:ascii="Arial" w:cs="Arial" w:eastAsia="Arial" w:hAnsi="Arial"/>
                <w:b/>
                <w:bCs/>
                <w:i w:val="false"/>
                <w:iCs w:val="false"/>
                <w:sz w:val="17"/>
                <w:szCs w:val="17"/>
              </w:rPr>
              <w:t xml:space="preserve">30</w:t>
            </w:r>
            <w:r>
              <w:rPr>
                <w:rFonts w:ascii="Arial" w:cs="Arial" w:eastAsia="Arial" w:hAnsi="Arial"/>
                <w:b w:val="false"/>
                <w:bCs w:val="false"/>
                <w:i w:val="false"/>
                <w:iCs w:val="false"/>
                <w:sz w:val="17"/>
                <w:szCs w:val="17"/>
              </w:rPr>
              <w:t xml:space="preserve"/>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
            </w:r>
            <w:r>
              <w:rPr>
                <w:rFonts w:ascii="Arial" w:cs="Arial" w:eastAsia="Arial" w:hAnsi="Arial"/>
                <w:b/>
                <w:bCs/>
                <w:i w:val="false"/>
                <w:iCs w:val="false"/>
                <w:sz w:val="17"/>
                <w:szCs w:val="17"/>
              </w:rPr>
              <w:t xml:space="preserve">Contribution per box-rental</w:t>
            </w:r>
            <w:r>
              <w:rPr>
                <w:rFonts w:ascii="Arial" w:cs="Arial" w:eastAsia="Arial" w:hAnsi="Arial"/>
                <w:b w:val="false"/>
                <w:bCs w:val="false"/>
                <w:i w:val="false"/>
                <w:iCs w:val="false"/>
                <w:sz w:val="17"/>
                <w:szCs w:val="17"/>
              </w:rPr>
              <w:t xml:space="preserve"/>
            </w:r>
          </w:p>
        </w:tc>
        <w:tc>
          <w:tcPr>
            <w:tcW w:type="dxa" w:w="4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40 – 30 (25% margin)</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center"/>
            </w:pPr>
            <w:r>
              <w:rPr>
                <w:rFonts w:ascii="Arial" w:cs="Arial" w:eastAsia="Arial" w:hAnsi="Arial"/>
                <w:b w:val="false"/>
                <w:bCs w:val="false"/>
                <w:i w:val="false"/>
                <w:iCs w:val="false"/>
                <w:sz w:val="17"/>
                <w:szCs w:val="17"/>
              </w:rPr>
              <w:t xml:space="preserve"/>
            </w:r>
            <w:r>
              <w:rPr>
                <w:rFonts w:ascii="Arial" w:cs="Arial" w:eastAsia="Arial" w:hAnsi="Arial"/>
                <w:b/>
                <w:bCs/>
                <w:i w:val="false"/>
                <w:iCs w:val="false"/>
                <w:sz w:val="17"/>
                <w:szCs w:val="17"/>
              </w:rPr>
              <w:t xml:space="preserve">10</w:t>
            </w:r>
            <w:r>
              <w:rPr>
                <w:rFonts w:ascii="Arial" w:cs="Arial" w:eastAsia="Arial" w:hAnsi="Arial"/>
                <w:b w:val="false"/>
                <w:bCs w:val="false"/>
                <w:i w:val="false"/>
                <w:iCs w:val="false"/>
                <w:sz w:val="17"/>
                <w:szCs w:val="17"/>
              </w:rPr>
              <w:t xml:space="preserve"/>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Cash margin before depreciation</w:t>
            </w:r>
          </w:p>
        </w:tc>
        <w:tc>
          <w:tcPr>
            <w:tcW w:type="dxa" w:w="4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40 – 16</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center"/>
            </w:pPr>
            <w:r>
              <w:rPr>
                <w:rFonts w:ascii="Arial" w:cs="Arial" w:eastAsia="Arial" w:hAnsi="Arial"/>
                <w:b w:val="false"/>
                <w:bCs w:val="false"/>
                <w:i w:val="false"/>
                <w:iCs w:val="false"/>
                <w:sz w:val="17"/>
                <w:szCs w:val="17"/>
              </w:rPr>
              <w:t xml:space="preserve">24</w:t>
            </w:r>
          </w:p>
        </w:tc>
      </w:tr>
    </w:tbl>
    <w:p>
      <w:pPr>
        <w:spacing w:after="60"/>
      </w:pPr>
    </w:p>
    <w:p>
      <w:pPr>
        <w:spacing w:after="110" w:before="0" w:line="276"/>
        <w:jc w:val="left"/>
      </w:pPr>
      <w:r>
        <w:rPr>
          <w:rFonts w:ascii="Arial" w:cs="Arial" w:eastAsia="Arial" w:hAnsi="Arial"/>
          <w:b w:val="false"/>
          <w:bCs w:val="false"/>
          <w:i w:val="false"/>
          <w:iCs w:val="false"/>
        </w:rPr>
        <w:t xml:space="preserve"/>
      </w:r>
      <w:r>
        <w:rPr>
          <w:rFonts w:ascii="Arial" w:cs="Arial" w:eastAsia="Arial" w:hAnsi="Arial"/>
          <w:b/>
          <w:bCs/>
          <w:i w:val="false"/>
          <w:iCs w:val="false"/>
        </w:rPr>
        <w:t xml:space="preserve">Reuse-cycle calculations:</w:t>
      </w:r>
      <w:r>
        <w:rPr>
          <w:rFonts w:ascii="Arial" w:cs="Arial" w:eastAsia="Arial" w:hAnsi="Arial"/>
          <w:b w:val="false"/>
          <w:bCs w:val="false"/>
          <w:i w:val="false"/>
          <w:iCs w:val="false"/>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438"/>
        <w:gridCol w:w="2200"/>
      </w:tblGrid>
      <w:tr>
        <w:trPr>
          <w:tblHeader/>
        </w:trPr>
        <w:tc>
          <w:tcPr>
            <w:tcW w:type="dxa" w:w="30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6"/>
                <w:szCs w:val="16"/>
              </w:rPr>
              <w:t xml:space="preserve">Measure</w:t>
            </w:r>
          </w:p>
        </w:tc>
        <w:tc>
          <w:tcPr>
            <w:tcW w:type="dxa" w:w="4438"/>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6"/>
                <w:szCs w:val="16"/>
              </w:rPr>
              <w:t xml:space="preserve">Working</w:t>
            </w:r>
          </w:p>
        </w:tc>
        <w:tc>
          <w:tcPr>
            <w:tcW w:type="dxa" w:w="22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6"/>
                <w:szCs w:val="16"/>
              </w:rPr>
              <w:t xml:space="preserve">Result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6"/>
                <w:szCs w:val="16"/>
              </w:rPr>
              <w:t xml:space="preserve">Lifetime rental revenue per box</w:t>
            </w:r>
          </w:p>
        </w:tc>
        <w:tc>
          <w:tcPr>
            <w:tcW w:type="dxa" w:w="4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30 cycles × ₹35</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₹1,050 (2.5× the box cost)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6"/>
                <w:szCs w:val="16"/>
              </w:rPr>
              <w:t xml:space="preserve">Break-even on rental fee alone</w:t>
            </w:r>
          </w:p>
        </w:tc>
        <w:tc>
          <w:tcPr>
            <w:tcW w:type="dxa" w:w="4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₹420 / ₹35</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12 rentals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6"/>
                <w:szCs w:val="16"/>
              </w:rPr>
              <w:t xml:space="preserve">True break-even after variable costs</w:t>
            </w:r>
          </w:p>
        </w:tc>
        <w:tc>
          <w:tcPr>
            <w:tcW w:type="dxa" w:w="4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₹420 / ₹24 cash margin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17.5 rentals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6"/>
                <w:szCs w:val="16"/>
              </w:rPr>
              <w:t xml:space="preserve">Lifetime profit per box at 30 cycles</w:t>
            </w:r>
          </w:p>
        </w:tc>
        <w:tc>
          <w:tcPr>
            <w:tcW w:type="dxa" w:w="4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30 × ₹24 – ₹420</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₹300</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6"/>
                <w:szCs w:val="16"/>
              </w:rPr>
              <w:t xml:space="preserve">Cycle time and yearly cycles</w:t>
            </w:r>
          </w:p>
        </w:tc>
        <w:tc>
          <w:tcPr>
            <w:tcW w:type="dxa" w:w="4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7 days rental + 3 days return and clean = 10 days; 365 / 10 = 36.5 maximum; 65% utilisation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About 24 cycles per year</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6"/>
                <w:szCs w:val="16"/>
              </w:rPr>
              <w:t xml:space="preserve">Box life and payback</w:t>
            </w:r>
          </w:p>
        </w:tc>
        <w:tc>
          <w:tcPr>
            <w:tcW w:type="dxa" w:w="4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30 / 24 per year; 17.5 / 24 per year</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About 15 months life; about 9 months payback</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6"/>
                <w:szCs w:val="16"/>
              </w:rPr>
              <w:t xml:space="preserve">Order-level result (20 boxes)</w:t>
            </w:r>
          </w:p>
        </w:tc>
        <w:tc>
          <w:tcPr>
            <w:tcW w:type="dxa" w:w="4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Revenue 20 × ₹40; contribution 20 × ₹10</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₹800 revenue; ₹200 contribution</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6"/>
                <w:szCs w:val="16"/>
              </w:rPr>
              <w:t xml:space="preserve">Customer comparison (assumed cardboard ₹50/box)</w:t>
            </w:r>
          </w:p>
        </w:tc>
        <w:tc>
          <w:tcPr>
            <w:tcW w:type="dxa" w:w="4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20 × ₹50 plus tape vs MoveLoop ₹800</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About ₹200 cheaper, no disposal</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1200"/>
        <w:gridCol w:w="1200"/>
        <w:gridCol w:w="1200"/>
        <w:gridCol w:w="1200"/>
        <w:gridCol w:w="1200"/>
      </w:tblGrid>
      <w:tr>
        <w:trPr>
          <w:tblHeader/>
        </w:trPr>
        <w:tc>
          <w:tcPr>
            <w:tcW w:type="dxa" w:w="3638"/>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6"/>
                <w:szCs w:val="16"/>
              </w:rPr>
              <w:t xml:space="preserve">Cycles achieved by a box</w:t>
            </w:r>
          </w:p>
        </w:tc>
        <w:tc>
          <w:tcPr>
            <w:tcW w:type="dxa" w:w="12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6"/>
                <w:szCs w:val="16"/>
              </w:rPr>
              <w:t xml:space="preserve">30</w:t>
            </w:r>
          </w:p>
        </w:tc>
        <w:tc>
          <w:tcPr>
            <w:tcW w:type="dxa" w:w="12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6"/>
                <w:szCs w:val="16"/>
              </w:rPr>
              <w:t xml:space="preserve">25</w:t>
            </w:r>
          </w:p>
        </w:tc>
        <w:tc>
          <w:tcPr>
            <w:tcW w:type="dxa" w:w="12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6"/>
                <w:szCs w:val="16"/>
              </w:rPr>
              <w:t xml:space="preserve">20</w:t>
            </w:r>
          </w:p>
        </w:tc>
        <w:tc>
          <w:tcPr>
            <w:tcW w:type="dxa" w:w="12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6"/>
                <w:szCs w:val="16"/>
              </w:rPr>
              <w:t xml:space="preserve">17.5</w:t>
            </w:r>
          </w:p>
        </w:tc>
        <w:tc>
          <w:tcPr>
            <w:tcW w:type="dxa" w:w="12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6"/>
                <w:szCs w:val="16"/>
              </w:rPr>
              <w:t xml:space="preserve">12</w:t>
            </w:r>
          </w:p>
        </w:tc>
      </w:tr>
      <w:tr>
        <w:trPr>
          <w:cantSplit/>
        </w:trPr>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6"/>
                <w:szCs w:val="16"/>
              </w:rPr>
              <w:t xml:space="preserve">Profit per box (₹) = cycles × 24 – 420</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center"/>
            </w:pPr>
            <w:r>
              <w:rPr>
                <w:rFonts w:ascii="Arial" w:cs="Arial" w:eastAsia="Arial" w:hAnsi="Arial"/>
                <w:b w:val="false"/>
                <w:bCs w:val="false"/>
                <w:i w:val="false"/>
                <w:iCs w:val="false"/>
                <w:sz w:val="16"/>
                <w:szCs w:val="16"/>
              </w:rPr>
              <w:t xml:space="preserve">300</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center"/>
            </w:pPr>
            <w:r>
              <w:rPr>
                <w:rFonts w:ascii="Arial" w:cs="Arial" w:eastAsia="Arial" w:hAnsi="Arial"/>
                <w:b w:val="false"/>
                <w:bCs w:val="false"/>
                <w:i w:val="false"/>
                <w:iCs w:val="false"/>
                <w:sz w:val="16"/>
                <w:szCs w:val="16"/>
              </w:rPr>
              <w:t xml:space="preserve">180</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center"/>
            </w:pPr>
            <w:r>
              <w:rPr>
                <w:rFonts w:ascii="Arial" w:cs="Arial" w:eastAsia="Arial" w:hAnsi="Arial"/>
                <w:b w:val="false"/>
                <w:bCs w:val="false"/>
                <w:i w:val="false"/>
                <w:iCs w:val="false"/>
                <w:sz w:val="16"/>
                <w:szCs w:val="16"/>
              </w:rPr>
              <w:t xml:space="preserve">60</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center"/>
            </w:pPr>
            <w:r>
              <w:rPr>
                <w:rFonts w:ascii="Arial" w:cs="Arial" w:eastAsia="Arial" w:hAnsi="Arial"/>
                <w:b w:val="false"/>
                <w:bCs w:val="false"/>
                <w:i w:val="false"/>
                <w:iCs w:val="false"/>
                <w:sz w:val="16"/>
                <w:szCs w:val="16"/>
              </w:rPr>
              <w:t xml:space="preserve">0</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center"/>
            </w:pPr>
            <w:r>
              <w:rPr>
                <w:rFonts w:ascii="Arial" w:cs="Arial" w:eastAsia="Arial" w:hAnsi="Arial"/>
                <w:b w:val="false"/>
                <w:bCs w:val="false"/>
                <w:i w:val="false"/>
                <w:iCs w:val="false"/>
                <w:sz w:val="16"/>
                <w:szCs w:val="16"/>
              </w:rPr>
              <w:t xml:space="preserve">–132</w:t>
            </w:r>
          </w:p>
        </w:tc>
      </w:tr>
    </w:tbl>
    <w:p>
      <w:pPr>
        <w:spacing w:after="110" w:before="60" w:line="276"/>
        <w:jc w:val="left"/>
      </w:pPr>
      <w:r>
        <w:rPr>
          <w:rFonts w:ascii="Arial" w:cs="Arial" w:eastAsia="Arial" w:hAnsi="Arial"/>
          <w:b w:val="false"/>
          <w:bCs w:val="false"/>
          <w:i/>
          <w:iCs/>
          <w:sz w:val="19"/>
          <w:szCs w:val="19"/>
        </w:rPr>
        <w:t xml:space="preserve">Sensitivity: a box must reach at least 18 cycles to earn money, so hygiene, damage control and returns matter more than price.</w:t>
      </w:r>
    </w:p>
    <w:p>
      <w:pPr>
        <w:spacing w:after="110" w:before="0" w:line="276"/>
        <w:jc w:val="left"/>
      </w:pPr>
      <w:r>
        <w:rPr>
          <w:rFonts w:ascii="Arial" w:cs="Arial" w:eastAsia="Arial" w:hAnsi="Arial"/>
          <w:b w:val="false"/>
          <w:bCs w:val="false"/>
          <w:i w:val="false"/>
          <w:iCs w:val="false"/>
        </w:rPr>
        <w:t xml:space="preserve"/>
      </w:r>
      <w:r>
        <w:rPr>
          <w:rFonts w:ascii="Arial" w:cs="Arial" w:eastAsia="Arial" w:hAnsi="Arial"/>
          <w:b/>
          <w:bCs/>
          <w:i w:val="false"/>
          <w:iCs w:val="false"/>
        </w:rPr>
        <w:t xml:space="preserve">Scale and break-even (assumed):</w:t>
      </w:r>
      <w:r>
        <w:rPr>
          <w:rFonts w:ascii="Arial" w:cs="Arial" w:eastAsia="Arial" w:hAnsi="Arial"/>
          <w:b w:val="false"/>
          <w:bCs w:val="false"/>
          <w:i w:val="false"/>
          <w:iCs w:val="false"/>
        </w:rPr>
        <w:t xml:space="preserve"> a lean hub costs about ₹40,000 per month (rent 12,000; ops staff and rider 18,000; marketing 8,000; software and misc 2,000). At ₹10 contribution, break-even is 40,000 / 10 = </w:t>
      </w:r>
      <w:r>
        <w:rPr>
          <w:rFonts w:ascii="Arial" w:cs="Arial" w:eastAsia="Arial" w:hAnsi="Arial"/>
          <w:b/>
          <w:bCs/>
          <w:i w:val="false"/>
          <w:iCs w:val="false"/>
        </w:rPr>
        <w:t xml:space="preserve">4,000 box-rentals per month = 200 orders</w:t>
      </w:r>
      <w:r>
        <w:rPr>
          <w:rFonts w:ascii="Arial" w:cs="Arial" w:eastAsia="Arial" w:hAnsi="Arial"/>
          <w:b w:val="false"/>
          <w:bCs w:val="false"/>
          <w:i w:val="false"/>
          <w:iCs w:val="false"/>
        </w:rPr>
        <w:t xml:space="preserve">. At 2 rentals per box per month this needs a fleet of about 2,000 boxes (₹8.4 lakh). If the 5-km zone holds about 1,00,000 rented households and 20% move each year (about 1,667 moves a month), 200 orders is roughly a </w:t>
      </w:r>
      <w:r>
        <w:rPr>
          <w:rFonts w:ascii="Arial" w:cs="Arial" w:eastAsia="Arial" w:hAnsi="Arial"/>
          <w:b/>
          <w:bCs/>
          <w:i w:val="false"/>
          <w:iCs w:val="false"/>
        </w:rPr>
        <w:t xml:space="preserve">12% share</w:t>
      </w:r>
      <w:r>
        <w:rPr>
          <w:rFonts w:ascii="Arial" w:cs="Arial" w:eastAsia="Arial" w:hAnsi="Arial"/>
          <w:b w:val="false"/>
          <w:bCs w:val="false"/>
          <w:i w:val="false"/>
          <w:iCs w:val="false"/>
        </w:rPr>
        <w:t xml:space="preserve">. Higher density, better utilisation and add-ons are the levers for profitability.</w:t>
      </w:r>
    </w:p>
    <w:p>
      <w:pPr>
        <w:pStyle w:val="Heading2"/>
        <w:keepNext/>
      </w:pPr>
      <w:r>
        <w:rPr>
          <w:rFonts w:ascii="Arial" w:cs="Arial" w:eastAsia="Arial" w:hAnsi="Arial"/>
        </w:rPr>
        <w:t xml:space="preserve">5.3 SWOT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A6A6A6" w:sz="4"/>
              <w:left w:val="single" w:color="A6A6A6" w:sz="4"/>
              <w:bottom w:val="single" w:color="A6A6A6" w:sz="4"/>
              <w:right w:val="single" w:color="A6A6A6" w:sz="4"/>
            </w:tcBorders>
            <w:shd w:fill="DDEEDD"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7"/>
                <w:szCs w:val="17"/>
              </w:rPr>
              <w:t xml:space="preserve">Strengths</w:t>
            </w:r>
          </w:p>
        </w:tc>
        <w:tc>
          <w:tcPr>
            <w:tcW w:type="dxa" w:w="4819"/>
            <w:tcBorders>
              <w:top w:val="single" w:color="A6A6A6" w:sz="4"/>
              <w:left w:val="single" w:color="A6A6A6" w:sz="4"/>
              <w:bottom w:val="single" w:color="A6A6A6" w:sz="4"/>
              <w:right w:val="single" w:color="A6A6A6" w:sz="4"/>
            </w:tcBorders>
            <w:shd w:fill="F8E0D8"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7"/>
                <w:szCs w:val="17"/>
              </w:rPr>
              <w:t xml:space="preserve">Weaknesses</w:t>
            </w:r>
          </w:p>
        </w:tc>
      </w:tr>
      <w:tr>
        <w:tc>
          <w:tcPr>
            <w:tcW w:type="dxa" w:w="481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 Durable box: about ₹1,050 revenue from a ₹420 asset</w:t>
            </w:r>
          </w:p>
          <w:p>
            <w:pPr>
              <w:spacing w:after="30" w:line="250"/>
              <w:jc w:val="left"/>
            </w:pPr>
            <w:r>
              <w:rPr>
                <w:rFonts w:ascii="Arial" w:cs="Arial" w:eastAsia="Arial" w:hAnsi="Arial"/>
                <w:b w:val="false"/>
                <w:bCs w:val="false"/>
                <w:i w:val="false"/>
                <w:iCs w:val="false"/>
                <w:sz w:val="16"/>
                <w:szCs w:val="16"/>
              </w:rPr>
              <w:t xml:space="preserve">• Doorstep convenience for a stressful moment</w:t>
            </w:r>
          </w:p>
          <w:p>
            <w:pPr>
              <w:spacing w:after="30" w:line="250"/>
              <w:jc w:val="left"/>
            </w:pPr>
            <w:r>
              <w:rPr>
                <w:rFonts w:ascii="Arial" w:cs="Arial" w:eastAsia="Arial" w:hAnsi="Arial"/>
                <w:b w:val="false"/>
                <w:bCs w:val="false"/>
                <w:i w:val="false"/>
                <w:iCs w:val="false"/>
                <w:sz w:val="16"/>
                <w:szCs w:val="16"/>
              </w:rPr>
              <w:t xml:space="preserve">• Compact 5-km zone gives dense routes and fast turnaround</w:t>
            </w:r>
          </w:p>
          <w:p>
            <w:pPr>
              <w:spacing w:after="30" w:line="250"/>
              <w:jc w:val="left"/>
            </w:pPr>
            <w:r>
              <w:rPr>
                <w:rFonts w:ascii="Arial" w:cs="Arial" w:eastAsia="Arial" w:hAnsi="Arial"/>
                <w:b w:val="false"/>
                <w:bCs w:val="false"/>
                <w:i w:val="false"/>
                <w:iCs w:val="false"/>
                <w:sz w:val="16"/>
                <w:szCs w:val="16"/>
              </w:rPr>
              <w:t xml:space="preserve">• QR tracking gives full asset visibility</w:t>
            </w:r>
          </w:p>
          <w:p>
            <w:pPr>
              <w:spacing w:after="30" w:line="250"/>
              <w:jc w:val="left"/>
            </w:pPr>
            <w:r>
              <w:rPr>
                <w:rFonts w:ascii="Arial" w:cs="Arial" w:eastAsia="Arial" w:hAnsi="Arial"/>
                <w:b w:val="false"/>
                <w:bCs w:val="false"/>
                <w:i w:val="false"/>
                <w:iCs w:val="false"/>
                <w:sz w:val="16"/>
                <w:szCs w:val="16"/>
              </w:rPr>
              <w:t xml:space="preserve">• Clear environmental story (no single-use cardboard)</w:t>
            </w:r>
          </w:p>
        </w:tc>
        <w:tc>
          <w:tcPr>
            <w:tcW w:type="dxa" w:w="481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 Thin margin: about ₹10 contribution per box-rental</w:t>
            </w:r>
          </w:p>
          <w:p>
            <w:pPr>
              <w:spacing w:after="30" w:line="250"/>
              <w:jc w:val="left"/>
            </w:pPr>
            <w:r>
              <w:rPr>
                <w:rFonts w:ascii="Arial" w:cs="Arial" w:eastAsia="Arial" w:hAnsi="Arial"/>
                <w:b w:val="false"/>
                <w:bCs w:val="false"/>
                <w:i w:val="false"/>
                <w:iCs w:val="false"/>
                <w:sz w:val="16"/>
                <w:szCs w:val="16"/>
              </w:rPr>
              <w:t xml:space="preserve">• Heavy up-front capital (₹420 per box)</w:t>
            </w:r>
          </w:p>
          <w:p>
            <w:pPr>
              <w:spacing w:after="30" w:line="250"/>
              <w:jc w:val="left"/>
            </w:pPr>
            <w:r>
              <w:rPr>
                <w:rFonts w:ascii="Arial" w:cs="Arial" w:eastAsia="Arial" w:hAnsi="Arial"/>
                <w:b w:val="false"/>
                <w:bCs w:val="false"/>
                <w:i w:val="false"/>
                <w:iCs w:val="false"/>
                <w:sz w:val="16"/>
                <w:szCs w:val="16"/>
              </w:rPr>
              <w:t xml:space="preserve">• Depends on boxes coming back</w:t>
            </w:r>
          </w:p>
          <w:p>
            <w:pPr>
              <w:spacing w:after="30" w:line="250"/>
              <w:jc w:val="left"/>
            </w:pPr>
            <w:r>
              <w:rPr>
                <w:rFonts w:ascii="Arial" w:cs="Arial" w:eastAsia="Arial" w:hAnsi="Arial"/>
                <w:b w:val="false"/>
                <w:bCs w:val="false"/>
                <w:i w:val="false"/>
                <w:iCs w:val="false"/>
                <w:sz w:val="16"/>
                <w:szCs w:val="16"/>
              </w:rPr>
              <w:t xml:space="preserve">• Cleaning and logistics add labour and cost</w:t>
            </w:r>
          </w:p>
          <w:p>
            <w:pPr>
              <w:spacing w:after="30" w:line="250"/>
              <w:jc w:val="left"/>
            </w:pPr>
            <w:r>
              <w:rPr>
                <w:rFonts w:ascii="Arial" w:cs="Arial" w:eastAsia="Arial" w:hAnsi="Arial"/>
                <w:b w:val="false"/>
                <w:bCs w:val="false"/>
                <w:i w:val="false"/>
                <w:iCs w:val="false"/>
                <w:sz w:val="16"/>
                <w:szCs w:val="16"/>
              </w:rPr>
              <w:t xml:space="preserve">• Service limited to a 5-km area; seasonal demand</w:t>
            </w:r>
          </w:p>
        </w:tc>
      </w:tr>
      <w:tr>
        <w:tc>
          <w:tcPr>
            <w:tcW w:type="dxa" w:w="4819"/>
            <w:tcBorders>
              <w:top w:val="single" w:color="A6A6A6" w:sz="4"/>
              <w:left w:val="single" w:color="A6A6A6" w:sz="4"/>
              <w:bottom w:val="single" w:color="A6A6A6" w:sz="4"/>
              <w:right w:val="single" w:color="A6A6A6" w:sz="4"/>
            </w:tcBorders>
            <w:shd w:fill="DCEBF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7"/>
                <w:szCs w:val="17"/>
              </w:rPr>
              <w:t xml:space="preserve">Opportunities</w:t>
            </w:r>
          </w:p>
        </w:tc>
        <w:tc>
          <w:tcPr>
            <w:tcW w:type="dxa" w:w="4819"/>
            <w:tcBorders>
              <w:top w:val="single" w:color="A6A6A6" w:sz="4"/>
              <w:left w:val="single" w:color="A6A6A6" w:sz="4"/>
              <w:bottom w:val="single" w:color="A6A6A6" w:sz="4"/>
              <w:right w:val="single" w:color="A6A6A6" w:sz="4"/>
            </w:tcBorders>
            <w:shd w:fill="FDE9C9"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7"/>
                <w:szCs w:val="17"/>
              </w:rPr>
              <w:t xml:space="preserve">Threats</w:t>
            </w:r>
          </w:p>
        </w:tc>
      </w:tr>
      <w:tr>
        <w:tc>
          <w:tcPr>
            <w:tcW w:type="dxa" w:w="481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 Frequent renter movement in large cities</w:t>
            </w:r>
          </w:p>
          <w:p>
            <w:pPr>
              <w:spacing w:after="30" w:line="250"/>
              <w:jc w:val="left"/>
            </w:pPr>
            <w:r>
              <w:rPr>
                <w:rFonts w:ascii="Arial" w:cs="Arial" w:eastAsia="Arial" w:hAnsi="Arial"/>
                <w:b w:val="false"/>
                <w:bCs w:val="false"/>
                <w:i w:val="false"/>
                <w:iCs w:val="false"/>
                <w:sz w:val="16"/>
                <w:szCs w:val="16"/>
              </w:rPr>
              <w:t xml:space="preserve">• Brokers and societies as low-cost channels</w:t>
            </w:r>
          </w:p>
          <w:p>
            <w:pPr>
              <w:spacing w:after="30" w:line="250"/>
              <w:jc w:val="left"/>
            </w:pPr>
            <w:r>
              <w:rPr>
                <w:rFonts w:ascii="Arial" w:cs="Arial" w:eastAsia="Arial" w:hAnsi="Arial"/>
                <w:b w:val="false"/>
                <w:bCs w:val="false"/>
                <w:i w:val="false"/>
                <w:iCs w:val="false"/>
                <w:sz w:val="16"/>
                <w:szCs w:val="16"/>
              </w:rPr>
              <w:t xml:space="preserve">• Add-ons: packing kits, furniture wraps, short storage</w:t>
            </w:r>
          </w:p>
          <w:p>
            <w:pPr>
              <w:spacing w:after="30" w:line="250"/>
              <w:jc w:val="left"/>
            </w:pPr>
            <w:r>
              <w:rPr>
                <w:rFonts w:ascii="Arial" w:cs="Arial" w:eastAsia="Arial" w:hAnsi="Arial"/>
                <w:b w:val="false"/>
                <w:bCs w:val="false"/>
                <w:i w:val="false"/>
                <w:iCs w:val="false"/>
                <w:sz w:val="16"/>
                <w:szCs w:val="16"/>
              </w:rPr>
              <w:t xml:space="preserve">• B2B demand from PGs, hostels, co-living, offices</w:t>
            </w:r>
          </w:p>
          <w:p>
            <w:pPr>
              <w:spacing w:after="30" w:line="250"/>
              <w:jc w:val="left"/>
            </w:pPr>
            <w:r>
              <w:rPr>
                <w:rFonts w:ascii="Arial" w:cs="Arial" w:eastAsia="Arial" w:hAnsi="Arial"/>
                <w:b w:val="false"/>
                <w:bCs w:val="false"/>
                <w:i w:val="false"/>
                <w:iCs w:val="false"/>
                <w:sz w:val="16"/>
                <w:szCs w:val="16"/>
              </w:rPr>
              <w:t xml:space="preserve">• Replicate hub-by-hub in new zones</w:t>
            </w:r>
          </w:p>
        </w:tc>
        <w:tc>
          <w:tcPr>
            <w:tcW w:type="dxa" w:w="481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 Free or cheap cardboard from shops and e-commerce</w:t>
            </w:r>
          </w:p>
          <w:p>
            <w:pPr>
              <w:spacing w:after="30" w:line="250"/>
              <w:jc w:val="left"/>
            </w:pPr>
            <w:r>
              <w:rPr>
                <w:rFonts w:ascii="Arial" w:cs="Arial" w:eastAsia="Arial" w:hAnsi="Arial"/>
                <w:b w:val="false"/>
                <w:bCs w:val="false"/>
                <w:i w:val="false"/>
                <w:iCs w:val="false"/>
                <w:sz w:val="16"/>
                <w:szCs w:val="16"/>
              </w:rPr>
              <w:t xml:space="preserve">• Packers-and-movers bundling their own boxes</w:t>
            </w:r>
          </w:p>
          <w:p>
            <w:pPr>
              <w:spacing w:after="30" w:line="250"/>
              <w:jc w:val="left"/>
            </w:pPr>
            <w:r>
              <w:rPr>
                <w:rFonts w:ascii="Arial" w:cs="Arial" w:eastAsia="Arial" w:hAnsi="Arial"/>
                <w:b w:val="false"/>
                <w:bCs w:val="false"/>
                <w:i w:val="false"/>
                <w:iCs w:val="false"/>
                <w:sz w:val="16"/>
                <w:szCs w:val="16"/>
              </w:rPr>
              <w:t xml:space="preserve">• Customer distrust of deposits</w:t>
            </w:r>
          </w:p>
          <w:p>
            <w:pPr>
              <w:spacing w:after="30" w:line="250"/>
              <w:jc w:val="left"/>
            </w:pPr>
            <w:r>
              <w:rPr>
                <w:rFonts w:ascii="Arial" w:cs="Arial" w:eastAsia="Arial" w:hAnsi="Arial"/>
                <w:b w:val="false"/>
                <w:bCs w:val="false"/>
                <w:i w:val="false"/>
                <w:iCs w:val="false"/>
                <w:sz w:val="16"/>
                <w:szCs w:val="16"/>
              </w:rPr>
              <w:t xml:space="preserve">• Loss, theft and hygiene complaints</w:t>
            </w:r>
          </w:p>
          <w:p>
            <w:pPr>
              <w:spacing w:after="30" w:line="250"/>
              <w:jc w:val="left"/>
            </w:pPr>
            <w:r>
              <w:rPr>
                <w:rFonts w:ascii="Arial" w:cs="Arial" w:eastAsia="Arial" w:hAnsi="Arial"/>
                <w:b w:val="false"/>
                <w:bCs w:val="false"/>
                <w:i w:val="false"/>
                <w:iCs w:val="false"/>
                <w:sz w:val="16"/>
                <w:szCs w:val="16"/>
              </w:rPr>
              <w:t xml:space="preserve">• Rising plastic prices; copycat competitors</w:t>
            </w:r>
          </w:p>
        </w:tc>
      </w:tr>
    </w:tbl>
    <w:p>
      <w:pPr>
        <w:pStyle w:val="Heading2"/>
        <w:keepNext/>
      </w:pPr>
      <w:r>
        <w:rPr>
          <w:rFonts w:ascii="Arial" w:cs="Arial" w:eastAsia="Arial" w:hAnsi="Arial"/>
        </w:rPr>
        <w:t xml:space="preserve">5.4 Risks and Mitigation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000"/>
        <w:gridCol w:w="5138"/>
      </w:tblGrid>
      <w:tr>
        <w:trPr>
          <w:tblHeader/>
        </w:trPr>
        <w:tc>
          <w:tcPr>
            <w:tcW w:type="dxa" w:w="24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6"/>
                <w:szCs w:val="16"/>
              </w:rPr>
              <w:t xml:space="preserve">Risk</w:t>
            </w:r>
          </w:p>
        </w:tc>
        <w:tc>
          <w:tcPr>
            <w:tcW w:type="dxa" w:w="11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6"/>
                <w:szCs w:val="16"/>
              </w:rPr>
              <w:t xml:space="preserve">Likelihood</w:t>
            </w:r>
          </w:p>
        </w:tc>
        <w:tc>
          <w:tcPr>
            <w:tcW w:type="dxa" w:w="10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6"/>
                <w:szCs w:val="16"/>
              </w:rPr>
              <w:t xml:space="preserve">Impact</w:t>
            </w:r>
          </w:p>
        </w:tc>
        <w:tc>
          <w:tcPr>
            <w:tcW w:type="dxa" w:w="5138"/>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6"/>
                <w:szCs w:val="16"/>
              </w:rPr>
              <w:t xml:space="preserve">Practical mitigation</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6"/>
                <w:szCs w:val="16"/>
              </w:rPr>
              <w:t xml:space="preserve">1. Boxes lost or not returned</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center"/>
            </w:pPr>
            <w:r>
              <w:rPr>
                <w:rFonts w:ascii="Arial" w:cs="Arial" w:eastAsia="Arial" w:hAnsi="Arial"/>
                <w:b w:val="false"/>
                <w:bCs w:val="false"/>
                <w:i w:val="false"/>
                <w:iCs w:val="false"/>
                <w:sz w:val="16"/>
                <w:szCs w:val="16"/>
              </w:rPr>
              <w:t xml:space="preserve">Medium</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center"/>
            </w:pPr>
            <w:r>
              <w:rPr>
                <w:rFonts w:ascii="Arial" w:cs="Arial" w:eastAsia="Arial" w:hAnsi="Arial"/>
                <w:b w:val="false"/>
                <w:bCs w:val="false"/>
                <w:i w:val="false"/>
                <w:iCs w:val="false"/>
                <w:sz w:val="16"/>
                <w:szCs w:val="16"/>
              </w:rPr>
              <w:t xml:space="preserve">High</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₹100 deposit plus ₹420 loss fee; QR scans at every hand-off; late fee ₹5 per box per day; phone and address verification</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6"/>
                <w:szCs w:val="16"/>
              </w:rPr>
              <w:t xml:space="preserve">2. Damaged or unhygienic boxes</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center"/>
            </w:pPr>
            <w:r>
              <w:rPr>
                <w:rFonts w:ascii="Arial" w:cs="Arial" w:eastAsia="Arial" w:hAnsi="Arial"/>
                <w:b w:val="false"/>
                <w:bCs w:val="false"/>
                <w:i w:val="false"/>
                <w:iCs w:val="false"/>
                <w:sz w:val="16"/>
                <w:szCs w:val="16"/>
              </w:rPr>
              <w:t xml:space="preserve">Medium</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center"/>
            </w:pPr>
            <w:r>
              <w:rPr>
                <w:rFonts w:ascii="Arial" w:cs="Arial" w:eastAsia="Arial" w:hAnsi="Arial"/>
                <w:b w:val="false"/>
                <w:bCs w:val="false"/>
                <w:i w:val="false"/>
                <w:iCs w:val="false"/>
                <w:sz w:val="16"/>
                <w:szCs w:val="16"/>
              </w:rPr>
              <w:t xml:space="preserve">Medium</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Grade A / B / retire inspection; standard wash and dry; damage fee table; replace lids; rotate fleet</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6"/>
                <w:szCs w:val="16"/>
              </w:rPr>
              <w:t xml:space="preserve">3. Low utilisation and seasonality</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center"/>
            </w:pPr>
            <w:r>
              <w:rPr>
                <w:rFonts w:ascii="Arial" w:cs="Arial" w:eastAsia="Arial" w:hAnsi="Arial"/>
                <w:b w:val="false"/>
                <w:bCs w:val="false"/>
                <w:i w:val="false"/>
                <w:iCs w:val="false"/>
                <w:sz w:val="16"/>
                <w:szCs w:val="16"/>
              </w:rPr>
              <w:t xml:space="preserve">High</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center"/>
            </w:pPr>
            <w:r>
              <w:rPr>
                <w:rFonts w:ascii="Arial" w:cs="Arial" w:eastAsia="Arial" w:hAnsi="Arial"/>
                <w:b w:val="false"/>
                <w:bCs w:val="false"/>
                <w:i w:val="false"/>
                <w:iCs w:val="false"/>
                <w:sz w:val="16"/>
                <w:szCs w:val="16"/>
              </w:rPr>
              <w:t xml:space="preserve">High</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Broker and PG partnerships for steady demand; off-peak discounts; add-ons; adjust fleet size to demand</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6"/>
                <w:szCs w:val="16"/>
              </w:rPr>
              <w:t xml:space="preserve">4. Logistics cost overrun or late delivery</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center"/>
            </w:pPr>
            <w:r>
              <w:rPr>
                <w:rFonts w:ascii="Arial" w:cs="Arial" w:eastAsia="Arial" w:hAnsi="Arial"/>
                <w:b w:val="false"/>
                <w:bCs w:val="false"/>
                <w:i w:val="false"/>
                <w:iCs w:val="false"/>
                <w:sz w:val="16"/>
                <w:szCs w:val="16"/>
              </w:rPr>
              <w:t xml:space="preserve">Medium</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center"/>
            </w:pPr>
            <w:r>
              <w:rPr>
                <w:rFonts w:ascii="Arial" w:cs="Arial" w:eastAsia="Arial" w:hAnsi="Arial"/>
                <w:b w:val="false"/>
                <w:bCs w:val="false"/>
                <w:i w:val="false"/>
                <w:iCs w:val="false"/>
                <w:sz w:val="16"/>
                <w:szCs w:val="16"/>
              </w:rPr>
              <w:t xml:space="preserve">High</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Batch by route and slot; minimum 10 boxes; hard 5-km limit; ₹100 delivery fee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6"/>
                <w:szCs w:val="16"/>
              </w:rPr>
              <w:t xml:space="preserve">5. Deposit friction lowers sign-ups</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center"/>
            </w:pPr>
            <w:r>
              <w:rPr>
                <w:rFonts w:ascii="Arial" w:cs="Arial" w:eastAsia="Arial" w:hAnsi="Arial"/>
                <w:b w:val="false"/>
                <w:bCs w:val="false"/>
                <w:i w:val="false"/>
                <w:iCs w:val="false"/>
                <w:sz w:val="16"/>
                <w:szCs w:val="16"/>
              </w:rPr>
              <w:t xml:space="preserve">Medium</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center"/>
            </w:pPr>
            <w:r>
              <w:rPr>
                <w:rFonts w:ascii="Arial" w:cs="Arial" w:eastAsia="Arial" w:hAnsi="Arial"/>
                <w:b w:val="false"/>
                <w:bCs w:val="false"/>
                <w:i w:val="false"/>
                <w:iCs w:val="false"/>
                <w:sz w:val="16"/>
                <w:szCs w:val="16"/>
              </w:rPr>
              <w:t xml:space="preserve">Medium</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Keep deposit low at ₹100; instant UPI refund; waive for verified repeat users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6"/>
                <w:szCs w:val="16"/>
              </w:rPr>
              <w:t xml:space="preserve">6. Competition from free cardboard and packers</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center"/>
            </w:pPr>
            <w:r>
              <w:rPr>
                <w:rFonts w:ascii="Arial" w:cs="Arial" w:eastAsia="Arial" w:hAnsi="Arial"/>
                <w:b w:val="false"/>
                <w:bCs w:val="false"/>
                <w:i w:val="false"/>
                <w:iCs w:val="false"/>
                <w:sz w:val="16"/>
                <w:szCs w:val="16"/>
              </w:rPr>
              <w:t xml:space="preserve">High</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center"/>
            </w:pPr>
            <w:r>
              <w:rPr>
                <w:rFonts w:ascii="Arial" w:cs="Arial" w:eastAsia="Arial" w:hAnsi="Arial"/>
                <w:b w:val="false"/>
                <w:bCs w:val="false"/>
                <w:i w:val="false"/>
                <w:iCs w:val="false"/>
                <w:sz w:val="16"/>
                <w:szCs w:val="16"/>
              </w:rPr>
              <w:t xml:space="preserve">Medium</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Sell convenience, cleanliness and zero waste; price calculator; partner with packers for bundles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6"/>
                <w:szCs w:val="16"/>
              </w:rPr>
              <w:t xml:space="preserve">7. Cash tied up in inventory</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center"/>
            </w:pPr>
            <w:r>
              <w:rPr>
                <w:rFonts w:ascii="Arial" w:cs="Arial" w:eastAsia="Arial" w:hAnsi="Arial"/>
                <w:b w:val="false"/>
                <w:bCs w:val="false"/>
                <w:i w:val="false"/>
                <w:iCs w:val="false"/>
                <w:sz w:val="16"/>
                <w:szCs w:val="16"/>
              </w:rPr>
              <w:t xml:space="preserve">Medium</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center"/>
            </w:pPr>
            <w:r>
              <w:rPr>
                <w:rFonts w:ascii="Arial" w:cs="Arial" w:eastAsia="Arial" w:hAnsi="Arial"/>
                <w:b w:val="false"/>
                <w:bCs w:val="false"/>
                <w:i w:val="false"/>
                <w:iCs w:val="false"/>
                <w:sz w:val="16"/>
                <w:szCs w:val="16"/>
              </w:rPr>
              <w:t xml:space="preserve">High</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6"/>
                <w:szCs w:val="16"/>
              </w:rPr>
              <w:t xml:space="preserve">Buy in phases (300 to 1,000 boxes); pilot first; track 17.5-cycle payback; explore leasing</w:t>
            </w:r>
          </w:p>
        </w:tc>
      </w:tr>
    </w:tbl>
    <w:p>
      <w:pPr>
        <w:pStyle w:val="Heading2"/>
        <w:keepNext/>
      </w:pPr>
      <w:r>
        <w:rPr>
          <w:rFonts w:ascii="Arial" w:cs="Arial" w:eastAsia="Arial" w:hAnsi="Arial"/>
        </w:rPr>
        <w:t xml:space="preserve">5.5 Recommended Business Model and Go-to-Market Approach</w:t>
      </w:r>
    </w:p>
    <w:p>
      <w:pPr>
        <w:spacing w:after="110" w:before="0" w:line="276"/>
        <w:jc w:val="left"/>
      </w:pPr>
      <w:r>
        <w:rPr>
          <w:rFonts w:ascii="Arial" w:cs="Arial" w:eastAsia="Arial" w:hAnsi="Arial"/>
          <w:b w:val="false"/>
          <w:bCs w:val="false"/>
          <w:i w:val="false"/>
          <w:iCs w:val="false"/>
        </w:rPr>
        <w:t xml:space="preserve"/>
      </w:r>
      <w:r>
        <w:rPr>
          <w:rFonts w:ascii="Arial" w:cs="Arial" w:eastAsia="Arial" w:hAnsi="Arial"/>
          <w:b/>
          <w:bCs/>
          <w:i w:val="false"/>
          <w:iCs w:val="false"/>
        </w:rPr>
        <w:t xml:space="preserve">Recommended model:</w:t>
      </w:r>
      <w:r>
        <w:rPr>
          <w:rFonts w:ascii="Arial" w:cs="Arial" w:eastAsia="Arial" w:hAnsi="Arial"/>
          <w:b w:val="false"/>
          <w:bCs w:val="false"/>
          <w:i w:val="false"/>
          <w:iCs w:val="false"/>
        </w:rPr>
        <w:t xml:space="preserve"> a pay-per-use rental service with a refundable deposit, run as a single hyper-local hub (hub-and-spoke within 5 km). Revenue comes from the ₹35 weekly box fee, a ₹100 delivery fee, extension and loss fees, and packing add-ons, with B2B partner bundles added after the pilot. A single dense hub keeps routes short, turnaround fast and utilisation high.</w:t>
      </w:r>
    </w:p>
    <w:p>
      <w:pPr>
        <w:spacing w:after="110" w:before="0" w:line="276"/>
        <w:jc w:val="left"/>
      </w:pPr>
      <w:r>
        <w:rPr>
          <w:rFonts w:ascii="Arial" w:cs="Arial" w:eastAsia="Arial" w:hAnsi="Arial"/>
          <w:b w:val="false"/>
          <w:bCs w:val="false"/>
          <w:i w:val="false"/>
          <w:iCs w:val="false"/>
        </w:rPr>
        <w:t xml:space="preserve"/>
      </w:r>
      <w:r>
        <w:rPr>
          <w:rFonts w:ascii="Arial" w:cs="Arial" w:eastAsia="Arial" w:hAnsi="Arial"/>
          <w:b/>
          <w:bCs/>
          <w:i w:val="false"/>
          <w:iCs w:val="false"/>
        </w:rPr>
        <w:t xml:space="preserve">Two ways to reach customers at moving time:</w:t>
      </w:r>
      <w:r>
        <w:rPr>
          <w:rFonts w:ascii="Arial" w:cs="Arial" w:eastAsia="Arial" w:hAnsi="Arial"/>
          <w:b w:val="false"/>
          <w:bCs w:val="false"/>
          <w:i w:val="false"/>
          <w:iCs w:val="false"/>
        </w:rPr>
        <w:t xml:space="preserve"/>
      </w:r>
    </w:p>
    <w:p>
      <w:pPr>
        <w:pStyle w:val="ListParagraph"/>
        <w:numPr>
          <w:ilvl w:val="0"/>
          <w:numId w:val="3"/>
        </w:numPr>
        <w:spacing w:after="60" w:line="264"/>
      </w:pPr>
      <w:r>
        <w:rPr>
          <w:rFonts w:ascii="Arial" w:cs="Arial" w:eastAsia="Arial" w:hAnsi="Arial"/>
          <w:b w:val="false"/>
          <w:bCs w:val="false"/>
          <w:i w:val="false"/>
          <w:iCs w:val="false"/>
        </w:rPr>
        <w:t xml:space="preserve"/>
      </w:r>
      <w:r>
        <w:rPr>
          <w:rFonts w:ascii="Arial" w:cs="Arial" w:eastAsia="Arial" w:hAnsi="Arial"/>
          <w:b/>
          <w:bCs/>
          <w:i w:val="false"/>
          <w:iCs w:val="false"/>
        </w:rPr>
        <w:t xml:space="preserve">Broker and society partnerships (intercept at lease signing).</w:t>
      </w:r>
      <w:r>
        <w:rPr>
          <w:rFonts w:ascii="Arial" w:cs="Arial" w:eastAsia="Arial" w:hAnsi="Arial"/>
          <w:b w:val="false"/>
          <w:bCs w:val="false"/>
          <w:i w:val="false"/>
          <w:iCs w:val="false"/>
        </w:rPr>
        <w:t xml:space="preserve"> Property brokers, PG / co-living operators and housing-society WhatsApp groups recommend MoveLoop when a tenant signs or gives notice. Pay a ₹50 referral per completed order. Measure: share of orders from partners; target cost per order at or below ₹150.</w:t>
      </w:r>
    </w:p>
    <w:p>
      <w:pPr>
        <w:pStyle w:val="ListParagraph"/>
        <w:numPr>
          <w:ilvl w:val="0"/>
          <w:numId w:val="3"/>
        </w:numPr>
        <w:spacing w:after="60" w:line="264"/>
      </w:pPr>
      <w:r>
        <w:rPr>
          <w:rFonts w:ascii="Arial" w:cs="Arial" w:eastAsia="Arial" w:hAnsi="Arial"/>
          <w:b w:val="false"/>
          <w:bCs w:val="false"/>
          <w:i w:val="false"/>
          <w:iCs w:val="false"/>
        </w:rPr>
        <w:t xml:space="preserve"/>
      </w:r>
      <w:r>
        <w:rPr>
          <w:rFonts w:ascii="Arial" w:cs="Arial" w:eastAsia="Arial" w:hAnsi="Arial"/>
          <w:b/>
          <w:bCs/>
          <w:i w:val="false"/>
          <w:iCs w:val="false"/>
        </w:rPr>
        <w:t xml:space="preserve">Search and social intent capture.</w:t>
      </w:r>
      <w:r>
        <w:rPr>
          <w:rFonts w:ascii="Arial" w:cs="Arial" w:eastAsia="Arial" w:hAnsi="Arial"/>
          <w:b w:val="false"/>
          <w:bCs w:val="false"/>
          <w:i w:val="false"/>
          <w:iCs w:val="false"/>
        </w:rPr>
        <w:t xml:space="preserve"> Optimise a Google Business Profile for searches such as “moving boxes on rent near me”, run short Instagram Reels showing a stacked-box move, and use a single WhatsApp booking link. Measure: clicks to bookings and cost per booking.</w:t>
      </w:r>
    </w:p>
    <w:p>
      <w:pPr>
        <w:pStyle w:val="Heading2"/>
        <w:keepNext/>
      </w:pPr>
      <w:r>
        <w:rPr>
          <w:rFonts w:ascii="Arial" w:cs="Arial" w:eastAsia="Arial" w:hAnsi="Arial"/>
        </w:rPr>
        <w:t xml:space="preserve">5.6 90-Day Pilot-to-Scale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438"/>
      </w:tblGrid>
      <w:tr>
        <w:trPr>
          <w:tblHeader/>
        </w:trPr>
        <w:tc>
          <w:tcPr>
            <w:tcW w:type="dxa" w:w="22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7"/>
                <w:szCs w:val="17"/>
              </w:rPr>
              <w:t xml:space="preserve">Phase</w:t>
            </w:r>
          </w:p>
        </w:tc>
        <w:tc>
          <w:tcPr>
            <w:tcW w:type="dxa" w:w="10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7"/>
                <w:szCs w:val="17"/>
              </w:rPr>
              <w:t xml:space="preserve">Days</w:t>
            </w:r>
          </w:p>
        </w:tc>
        <w:tc>
          <w:tcPr>
            <w:tcW w:type="dxa" w:w="6438"/>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7"/>
                <w:szCs w:val="17"/>
              </w:rPr>
              <w:t xml:space="preserve">Key actions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7"/>
                <w:szCs w:val="17"/>
              </w:rPr>
              <w:t xml:space="preserve">1. Set up and validate</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center"/>
            </w:pPr>
            <w:r>
              <w:rPr>
                <w:rFonts w:ascii="Arial" w:cs="Arial" w:eastAsia="Arial" w:hAnsi="Arial"/>
                <w:b w:val="false"/>
                <w:bCs w:val="false"/>
                <w:i w:val="false"/>
                <w:iCs w:val="false"/>
                <w:sz w:val="17"/>
                <w:szCs w:val="17"/>
              </w:rPr>
              <w:t xml:space="preserve">1–30</w:t>
            </w:r>
          </w:p>
        </w:tc>
        <w:tc>
          <w:tcPr>
            <w:tcW w:type="dxa" w:w="6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Buy 300 boxes (₹1,26,000) and QR-tag them; set up hub and wash area; WhatsApp booking form and UPI deposit flow; sign 3 brokers and 2 societies; collect 20 pre-bookings; run 10 friendly beta orders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7"/>
                <w:szCs w:val="17"/>
              </w:rPr>
              <w:t xml:space="preserve">2. Launch pilot</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center"/>
            </w:pPr>
            <w:r>
              <w:rPr>
                <w:rFonts w:ascii="Arial" w:cs="Arial" w:eastAsia="Arial" w:hAnsi="Arial"/>
                <w:b w:val="false"/>
                <w:bCs w:val="false"/>
                <w:i w:val="false"/>
                <w:iCs w:val="false"/>
                <w:sz w:val="17"/>
                <w:szCs w:val="17"/>
              </w:rPr>
              <w:t xml:space="preserve">31–60</w:t>
            </w:r>
          </w:p>
        </w:tc>
        <w:tc>
          <w:tcPr>
            <w:tcW w:type="dxa" w:w="6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Open bookings in the 5-km zone; target 30 completed orders; daily stock and return review; fix process gaps weekly</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bCs/>
                <w:i w:val="false"/>
                <w:iCs w:val="false"/>
                <w:sz w:val="17"/>
                <w:szCs w:val="17"/>
              </w:rPr>
              <w:t xml:space="preserve">3. Optimise and decide</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center"/>
            </w:pPr>
            <w:r>
              <w:rPr>
                <w:rFonts w:ascii="Arial" w:cs="Arial" w:eastAsia="Arial" w:hAnsi="Arial"/>
                <w:b w:val="false"/>
                <w:bCs w:val="false"/>
                <w:i w:val="false"/>
                <w:iCs w:val="false"/>
                <w:sz w:val="17"/>
                <w:szCs w:val="17"/>
              </w:rPr>
              <w:t xml:space="preserve">61–90</w:t>
            </w:r>
          </w:p>
        </w:tc>
        <w:tc>
          <w:tcPr>
            <w:tcW w:type="dxa" w:w="6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Tune pricing, deposit and add-ons; test referral payout; decide on 200 more boxes, a second rider or a second hub (go / no-go review on Day 90)</w:t>
            </w:r>
          </w:p>
        </w:tc>
      </w:tr>
    </w:tbl>
    <w:p>
      <w:pPr>
        <w:spacing w:after="60"/>
      </w:pPr>
    </w:p>
    <w:p>
      <w:pPr>
        <w:spacing w:after="110" w:before="0" w:line="276"/>
        <w:jc w:val="left"/>
      </w:pPr>
      <w:r>
        <w:rPr>
          <w:rFonts w:ascii="Arial" w:cs="Arial" w:eastAsia="Arial" w:hAnsi="Arial"/>
          <w:b w:val="false"/>
          <w:bCs w:val="false"/>
          <w:i w:val="false"/>
          <w:iCs w:val="false"/>
        </w:rPr>
        <w:t xml:space="preserve"/>
      </w:r>
      <w:r>
        <w:rPr>
          <w:rFonts w:ascii="Arial" w:cs="Arial" w:eastAsia="Arial" w:hAnsi="Arial"/>
          <w:b/>
          <w:bCs/>
          <w:i w:val="false"/>
          <w:iCs w:val="false"/>
        </w:rPr>
        <w:t xml:space="preserve">Measurable success criteria (by Day 90):</w:t>
      </w:r>
      <w:r>
        <w:rPr>
          <w:rFonts w:ascii="Arial" w:cs="Arial" w:eastAsia="Arial" w:hAnsi="Arial"/>
          <w:b w:val="false"/>
          <w:bCs w:val="false"/>
          <w:i w:val="false"/>
          <w:iCs w:val="false"/>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7"/>
                <w:szCs w:val="17"/>
              </w:rPr>
              <w:t xml:space="preserve">KPI</w:t>
            </w:r>
          </w:p>
        </w:tc>
        <w:tc>
          <w:tcPr>
            <w:tcW w:type="dxa" w:w="5438"/>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vAlign w:val="top"/>
          </w:tcPr>
          <w:p>
            <w:pPr>
              <w:spacing w:after="30" w:line="250"/>
              <w:jc w:val="center"/>
            </w:pPr>
            <w:r>
              <w:rPr>
                <w:rFonts w:ascii="Arial" w:cs="Arial" w:eastAsia="Arial" w:hAnsi="Arial"/>
                <w:b/>
                <w:bCs/>
                <w:i w:val="false"/>
                <w:iCs w:val="false"/>
                <w:sz w:val="17"/>
                <w:szCs w:val="17"/>
              </w:rPr>
              <w:t xml:space="preserve">Target</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Completed orders (≈ 1,200 box-rentals)</w:t>
            </w:r>
          </w:p>
        </w:tc>
        <w:tc>
          <w:tcPr>
            <w:tcW w:type="dxa" w:w="5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60 or more (60 live days × 300 boxes / 20 per order / 10-day cycle = 90 maximum, so 67% of capacity)</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Fleet utilisation</w:t>
            </w:r>
          </w:p>
        </w:tc>
        <w:tc>
          <w:tcPr>
            <w:tcW w:type="dxa" w:w="5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60% or higher</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Boxes returned within 3 days of due date</w:t>
            </w:r>
          </w:p>
        </w:tc>
        <w:tc>
          <w:tcPr>
            <w:tcW w:type="dxa" w:w="5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97% or higher</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Loss plus unrecoverable damage</w:t>
            </w:r>
          </w:p>
        </w:tc>
        <w:tc>
          <w:tcPr>
            <w:tcW w:type="dxa" w:w="5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2% of boxes or lower</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On-time delivery and pickup (2-hour slot)</w:t>
            </w:r>
          </w:p>
        </w:tc>
        <w:tc>
          <w:tcPr>
            <w:tcW w:type="dxa" w:w="5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95% or higher</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Actual contribution per box-rental</w:t>
            </w:r>
          </w:p>
        </w:tc>
        <w:tc>
          <w:tcPr>
            <w:tcW w:type="dxa" w:w="5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₹8 or higher</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Customer rating and repeat / referral</w:t>
            </w:r>
          </w:p>
        </w:tc>
        <w:tc>
          <w:tcPr>
            <w:tcW w:type="dxa" w:w="5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4.5 out of 5 and 20% or higher</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Customer acquisition cost per order</w:t>
            </w:r>
          </w:p>
        </w:tc>
        <w:tc>
          <w:tcPr>
            <w:tcW w:type="dxa" w:w="5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30" w:line="250"/>
              <w:jc w:val="left"/>
            </w:pPr>
            <w:r>
              <w:rPr>
                <w:rFonts w:ascii="Arial" w:cs="Arial" w:eastAsia="Arial" w:hAnsi="Arial"/>
                <w:b w:val="false"/>
                <w:bCs w:val="false"/>
                <w:i w:val="false"/>
                <w:iCs w:val="false"/>
                <w:sz w:val="17"/>
                <w:szCs w:val="17"/>
              </w:rPr>
              <w:t xml:space="preserve">₹150 or lower</w:t>
            </w:r>
          </w:p>
        </w:tc>
      </w:tr>
    </w:tbl>
    <w:p>
      <w:pPr>
        <w:spacing w:after="110" w:before="80" w:line="276"/>
        <w:jc w:val="left"/>
      </w:pPr>
      <w:r>
        <w:rPr>
          <w:rFonts w:ascii="Arial" w:cs="Arial" w:eastAsia="Arial" w:hAnsi="Arial"/>
          <w:b w:val="false"/>
          <w:bCs w:val="false"/>
          <w:i w:val="false"/>
          <w:iCs w:val="false"/>
        </w:rPr>
        <w:t xml:space="preserve"/>
      </w:r>
      <w:r>
        <w:rPr>
          <w:rFonts w:ascii="Arial" w:cs="Arial" w:eastAsia="Arial" w:hAnsi="Arial"/>
          <w:b/>
          <w:bCs/>
          <w:i w:val="false"/>
          <w:iCs w:val="false"/>
        </w:rPr>
        <w:t xml:space="preserve">Scale trigger:</w:t>
      </w:r>
      <w:r>
        <w:rPr>
          <w:rFonts w:ascii="Arial" w:cs="Arial" w:eastAsia="Arial" w:hAnsi="Arial"/>
          <w:b w:val="false"/>
          <w:bCs w:val="false"/>
          <w:i w:val="false"/>
          <w:iCs w:val="false"/>
        </w:rPr>
        <w:t xml:space="preserve"> if at least 6 of the 8 targets are met, expand to 1,000+ boxes and open a second hub; otherwise repeat the pilot after fixing the weakest metrics.</w:t>
      </w:r>
    </w:p>
    <w:p>
      <w:pPr>
        <w:pStyle w:val="Heading2"/>
        <w:keepNext/>
      </w:pPr>
      <w:r>
        <w:rPr>
          <w:rFonts w:ascii="Arial" w:cs="Arial" w:eastAsia="Arial" w:hAnsi="Arial"/>
        </w:rPr>
        <w:t xml:space="preserve">Snapshots</w:t>
      </w:r>
    </w:p>
    <w:p>
      <w:pPr>
        <w:spacing w:after="110" w:before="0" w:line="276"/>
        <w:jc w:val="left"/>
      </w:pPr>
      <w:r>
        <w:rPr>
          <w:rFonts w:ascii="Arial" w:cs="Arial" w:eastAsia="Arial" w:hAnsi="Arial"/>
          <w:b w:val="false"/>
          <w:bCs w:val="false"/>
          <w:i w:val="false"/>
          <w:iCs w:val="false"/>
        </w:rPr>
        <w:t xml:space="preserve">The following exhibits show the operating flow and the reuse-cycle economics used in this report.</w:t>
      </w:r>
    </w:p>
    <w:p>
      <w:pPr>
        <w:spacing w:after="40" w:before="100"/>
        <w:jc w:val="center"/>
      </w:pPr>
      <w:r>
        <w:drawing>
          <wp:inline distT="0" distB="0" distL="0" distR="0">
            <wp:extent cx="5905500" cy="2714625"/>
            <wp:effectExtent t="0" r="0" b="0" l="0"/>
            <wp:docPr id="1" name="fig_supply_chain.png" descr="fig_supply_chain.png" title="fig_supply_ch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714625"/>
                    </a:xfrm>
                    <a:prstGeom prst="rect">
                      <a:avLst/>
                    </a:prstGeom>
                  </pic:spPr>
                </pic:pic>
              </a:graphicData>
            </a:graphic>
          </wp:inline>
        </w:drawing>
      </w:r>
    </w:p>
    <w:p>
      <w:pPr>
        <w:spacing w:after="20" w:before="60"/>
        <w:jc w:val="center"/>
      </w:pPr>
      <w:r>
        <w:rPr>
          <w:rFonts w:ascii="Arial" w:cs="Arial" w:eastAsia="Arial" w:hAnsi="Arial"/>
          <w:b/>
          <w:bCs/>
          <w:sz w:val="19"/>
          <w:szCs w:val="19"/>
        </w:rPr>
        <w:t xml:space="preserve">Figure 1: MoveLoop supply chain and reuse loop</w:t>
      </w:r>
    </w:p>
    <w:p>
      <w:pPr>
        <w:spacing w:after="160"/>
        <w:jc w:val="center"/>
      </w:pPr>
      <w:r>
        <w:rPr>
          <w:rFonts w:ascii="Arial" w:cs="Arial" w:eastAsia="Arial" w:hAnsi="Arial"/>
          <w:i/>
          <w:iCs/>
          <w:color w:val="666666"/>
          <w:sz w:val="17"/>
          <w:szCs w:val="17"/>
        </w:rPr>
        <w:t xml:space="preserve">Shows the eight-step flow from sourcing to end of life, the reuse loop after inspection, and where cash moves.</w:t>
      </w:r>
    </w:p>
    <w:p>
      <w:pPr>
        <w:spacing w:after="40" w:before="100"/>
        <w:jc w:val="center"/>
      </w:pPr>
      <w:r>
        <w:drawing>
          <wp:inline distT="0" distB="0" distL="0" distR="0">
            <wp:extent cx="4476750" cy="2238375"/>
            <wp:effectExtent t="0" r="0" b="0" l="0"/>
            <wp:docPr id="1" name="fig_break_even.png" descr="fig_break_even.png" title="fig_break_ev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238375"/>
                    </a:xfrm>
                    <a:prstGeom prst="rect">
                      <a:avLst/>
                    </a:prstGeom>
                  </pic:spPr>
                </pic:pic>
              </a:graphicData>
            </a:graphic>
          </wp:inline>
        </w:drawing>
      </w:r>
    </w:p>
    <w:p>
      <w:pPr>
        <w:spacing w:after="20" w:before="60"/>
        <w:jc w:val="center"/>
      </w:pPr>
      <w:r>
        <w:rPr>
          <w:rFonts w:ascii="Arial" w:cs="Arial" w:eastAsia="Arial" w:hAnsi="Arial"/>
          <w:b/>
          <w:bCs/>
          <w:sz w:val="19"/>
          <w:szCs w:val="19"/>
        </w:rPr>
        <w:t xml:space="preserve">Figure 2: Cumulative margin per box against rental cycles</w:t>
      </w:r>
    </w:p>
    <w:p>
      <w:pPr>
        <w:spacing w:after="160"/>
        <w:jc w:val="center"/>
      </w:pPr>
      <w:r>
        <w:rPr>
          <w:rFonts w:ascii="Arial" w:cs="Arial" w:eastAsia="Arial" w:hAnsi="Arial"/>
          <w:i/>
          <w:iCs/>
          <w:color w:val="666666"/>
          <w:sz w:val="17"/>
          <w:szCs w:val="17"/>
        </w:rPr>
        <w:t xml:space="preserve">Shows break-even at 12 cycles on fees alone and at 17.5 cycles after variable costs, reaching ₹300 profit at 30 cycles.</w:t>
      </w:r>
    </w:p>
    <w:p>
      <w:pPr>
        <w:pStyle w:val="Heading1"/>
        <w:keepNext/>
      </w:pPr>
      <w:r>
        <w:rPr>
          <w:rFonts w:ascii="Arial" w:cs="Arial" w:eastAsia="Arial" w:hAnsi="Arial"/>
        </w:rPr>
        <w:t xml:space="preserve">6. Case Study Results and Conclusion.</w:t>
      </w:r>
    </w:p>
    <w:p>
      <w:pPr>
        <w:pStyle w:val="Heading2"/>
        <w:keepNext/>
      </w:pPr>
      <w:r>
        <w:rPr>
          <w:rFonts w:ascii="Arial" w:cs="Arial" w:eastAsia="Arial" w:hAnsi="Arial"/>
        </w:rPr>
        <w:t xml:space="preserve">Findings</w:t>
      </w:r>
    </w:p>
    <w:p>
      <w:pPr>
        <w:pStyle w:val="ListParagraph"/>
        <w:numPr>
          <w:ilvl w:val="0"/>
          <w:numId w:val="3"/>
        </w:numPr>
        <w:spacing w:after="60" w:line="264"/>
      </w:pPr>
      <w:r>
        <w:rPr>
          <w:rFonts w:ascii="Arial" w:cs="Arial" w:eastAsia="Arial" w:hAnsi="Arial"/>
          <w:b w:val="false"/>
          <w:bCs w:val="false"/>
          <w:i w:val="false"/>
          <w:iCs w:val="false"/>
        </w:rPr>
        <w:t xml:space="preserve">The core problem is single-use, hard-to-source cardboard at a stressful moment. Young working renters are the best first segment, with brokers and societies as low-cost channels.</w:t>
      </w:r>
    </w:p>
    <w:p>
      <w:pPr>
        <w:pStyle w:val="ListParagraph"/>
        <w:numPr>
          <w:ilvl w:val="0"/>
          <w:numId w:val="3"/>
        </w:numPr>
        <w:spacing w:after="60" w:line="264"/>
      </w:pPr>
      <w:r>
        <w:rPr>
          <w:rFonts w:ascii="Arial" w:cs="Arial" w:eastAsia="Arial" w:hAnsi="Arial"/>
          <w:b w:val="false"/>
          <w:bCs w:val="false"/>
          <w:i w:val="false"/>
          <w:iCs w:val="false"/>
        </w:rPr>
        <w:t xml:space="preserve">A box earns ₹1,050 in rentals over 30 cycles on a ₹420 cost. It breaks even after 12 rentals on fees alone and after 17.5 rentals once costs are included, earning about ₹300 per box at full life.</w:t>
      </w:r>
    </w:p>
    <w:p>
      <w:pPr>
        <w:pStyle w:val="ListParagraph"/>
        <w:numPr>
          <w:ilvl w:val="0"/>
          <w:numId w:val="3"/>
        </w:numPr>
        <w:spacing w:after="60" w:line="264"/>
      </w:pPr>
      <w:r>
        <w:rPr>
          <w:rFonts w:ascii="Arial" w:cs="Arial" w:eastAsia="Arial" w:hAnsi="Arial"/>
          <w:b w:val="false"/>
          <w:bCs w:val="false"/>
          <w:i w:val="false"/>
          <w:iCs w:val="false"/>
        </w:rPr>
        <w:t xml:space="preserve">Contribution is about ₹10 per box-rental (25%), so profit depends on utilisation, density and keeping boxes in good condition rather than on price. Break-even at the hub level is about 200 orders per month.</w:t>
      </w:r>
    </w:p>
    <w:p>
      <w:pPr>
        <w:pStyle w:val="ListParagraph"/>
        <w:numPr>
          <w:ilvl w:val="0"/>
          <w:numId w:val="3"/>
        </w:numPr>
        <w:spacing w:after="60" w:line="264"/>
      </w:pPr>
      <w:r>
        <w:rPr>
          <w:rFonts w:ascii="Arial" w:cs="Arial" w:eastAsia="Arial" w:hAnsi="Arial"/>
          <w:b w:val="false"/>
          <w:bCs w:val="false"/>
          <w:i w:val="false"/>
          <w:iCs w:val="false"/>
        </w:rPr>
        <w:t xml:space="preserve">A ₹100 per box deposit with QR tracking and a ₹420 loss fee balances customer trust and asset protection better than a full-cost deposit.</w:t>
      </w:r>
    </w:p>
    <w:p>
      <w:pPr>
        <w:pStyle w:val="ListParagraph"/>
        <w:numPr>
          <w:ilvl w:val="0"/>
          <w:numId w:val="3"/>
        </w:numPr>
        <w:spacing w:after="60" w:line="264"/>
      </w:pPr>
      <w:r>
        <w:rPr>
          <w:rFonts w:ascii="Arial" w:cs="Arial" w:eastAsia="Arial" w:hAnsi="Arial"/>
          <w:b w:val="false"/>
          <w:bCs w:val="false"/>
          <w:i w:val="false"/>
          <w:iCs w:val="false"/>
        </w:rPr>
        <w:t xml:space="preserve">The 5-km service area is a strength: shorter routes, quicker turnaround and easier customer trust.</w:t>
      </w:r>
    </w:p>
    <w:p>
      <w:pPr>
        <w:pStyle w:val="ListParagraph"/>
        <w:numPr>
          <w:ilvl w:val="0"/>
          <w:numId w:val="3"/>
        </w:numPr>
        <w:spacing w:after="60" w:line="264"/>
      </w:pPr>
      <w:r>
        <w:rPr>
          <w:rFonts w:ascii="Arial" w:cs="Arial" w:eastAsia="Arial" w:hAnsi="Arial"/>
          <w:b w:val="false"/>
          <w:bCs w:val="false"/>
          <w:i w:val="false"/>
          <w:iCs w:val="false"/>
        </w:rPr>
        <w:t xml:space="preserve">The biggest risks are non-returns, low utilisation and logistics cost; each has a practical mitigation and a KPI in the pilot.</w:t>
      </w:r>
    </w:p>
    <w:p>
      <w:pPr>
        <w:pStyle w:val="Heading2"/>
        <w:keepNext/>
      </w:pPr>
      <w:r>
        <w:rPr>
          <w:rFonts w:ascii="Arial" w:cs="Arial" w:eastAsia="Arial" w:hAnsi="Arial"/>
        </w:rPr>
        <w:t xml:space="preserve">Conclusion</w:t>
      </w:r>
    </w:p>
    <w:p>
      <w:pPr>
        <w:spacing w:after="110" w:before="0" w:line="276"/>
        <w:jc w:val="left"/>
      </w:pPr>
      <w:r>
        <w:rPr>
          <w:rFonts w:ascii="Arial" w:cs="Arial" w:eastAsia="Arial" w:hAnsi="Arial"/>
          <w:b w:val="false"/>
          <w:bCs w:val="false"/>
          <w:i w:val="false"/>
          <w:iCs w:val="false"/>
        </w:rPr>
        <w:t xml:space="preserve">This case study shows that reusable moving boxes can work as a rental business if operations are tight. The design links customer needs to a simple booking, deposit and tracking flow, a closed-loop supply chain and a clear reuse-cycle calculation. The margin per rental is thin, which makes the recommended hyper-local hub, partner-led acquisition and 90-day pilot with measurable criteria the sensible way to test demand, return behaviour and cost before investing in a larger fleet. All non-case numbers are assumptions that the pilot is designed to confirm or correct.</w:t>
      </w:r>
    </w:p>
    <w:p>
      <w:pPr>
        <w:pStyle w:val="Heading1"/>
        <w:keepNext/>
      </w:pPr>
      <w:r>
        <w:rPr>
          <w:rFonts w:ascii="Arial" w:cs="Arial" w:eastAsia="Arial" w:hAnsi="Arial"/>
        </w:rPr>
        <w:t xml:space="preserve">7. References</w:t>
      </w:r>
    </w:p>
    <w:p>
      <w:pPr>
        <w:pStyle w:val="ListParagraph"/>
        <w:numPr>
          <w:ilvl w:val="0"/>
          <w:numId w:val="3"/>
        </w:numPr>
        <w:spacing w:after="60" w:line="264"/>
      </w:pPr>
      <w:r>
        <w:rPr>
          <w:rFonts w:ascii="Arial" w:cs="Arial" w:eastAsia="Arial" w:hAnsi="Arial"/>
          <w:b w:val="false"/>
          <w:bCs w:val="false"/>
          <w:i w:val="false"/>
          <w:iCs w:val="false"/>
        </w:rPr>
        <w:t xml:space="preserve">Case Study no. 19: Reusable Moving Boxes (MoveLoop), Go-to-Market &amp; Customer Operations, School of Future Tech, ITM Skills University, B.Tech CSE 2025-29, Semester III: Sprint I.</w:t>
      </w:r>
    </w:p>
    <w:p>
      <w:pPr>
        <w:pStyle w:val="ListParagraph"/>
        <w:numPr>
          <w:ilvl w:val="0"/>
          <w:numId w:val="3"/>
        </w:numPr>
        <w:spacing w:after="60" w:line="264"/>
      </w:pPr>
      <w:r>
        <w:rPr>
          <w:rFonts w:ascii="Arial" w:cs="Arial" w:eastAsia="Arial" w:hAnsi="Arial"/>
          <w:b w:val="false"/>
          <w:bCs w:val="false"/>
          <w:i w:val="false"/>
          <w:iCs w:val="false"/>
        </w:rPr>
        <w:t xml:space="preserve">Osterwalder, A. and Pigneur, Y., Business Model Generation (Business Model Canvas).</w:t>
      </w:r>
    </w:p>
    <w:p>
      <w:pPr>
        <w:pStyle w:val="ListParagraph"/>
        <w:numPr>
          <w:ilvl w:val="0"/>
          <w:numId w:val="3"/>
        </w:numPr>
        <w:spacing w:after="60" w:line="264"/>
      </w:pPr>
      <w:r>
        <w:rPr>
          <w:rFonts w:ascii="Arial" w:cs="Arial" w:eastAsia="Arial" w:hAnsi="Arial"/>
          <w:b w:val="false"/>
          <w:bCs w:val="false"/>
          <w:i w:val="false"/>
          <w:iCs w:val="false"/>
        </w:rPr>
        <w:t xml:space="preserve">Osterwalder, A. et al., Value Proposition Design (Value Proposition Canvas).</w:t>
      </w:r>
    </w:p>
    <w:p>
      <w:pPr>
        <w:pStyle w:val="ListParagraph"/>
        <w:numPr>
          <w:ilvl w:val="0"/>
          <w:numId w:val="3"/>
        </w:numPr>
        <w:spacing w:after="60" w:line="264"/>
      </w:pPr>
      <w:r>
        <w:rPr>
          <w:rFonts w:ascii="Arial" w:cs="Arial" w:eastAsia="Arial" w:hAnsi="Arial"/>
          <w:b w:val="false"/>
          <w:bCs w:val="false"/>
          <w:i w:val="false"/>
          <w:iCs w:val="false"/>
        </w:rPr>
        <w:t xml:space="preserve">Ellen MacArthur Foundation, materials on the circular economy and reuse / product-as-a-service models.</w:t>
      </w:r>
    </w:p>
    <w:p>
      <w:pPr>
        <w:pStyle w:val="ListParagraph"/>
        <w:numPr>
          <w:ilvl w:val="0"/>
          <w:numId w:val="3"/>
        </w:numPr>
        <w:spacing w:after="60" w:line="264"/>
      </w:pPr>
      <w:r>
        <w:rPr>
          <w:rFonts w:ascii="Arial" w:cs="Arial" w:eastAsia="Arial" w:hAnsi="Arial"/>
          <w:b w:val="false"/>
          <w:bCs w:val="false"/>
          <w:i w:val="false"/>
          <w:iCs w:val="false"/>
        </w:rPr>
        <w:t xml:space="preserve">Course material on Go-to-Market strategy, customer journey mapping, unit economics and SWOT analysis, Semester III.</w:t>
      </w:r>
    </w:p>
    <w:sectPr>
      <w:footerReference w:type="default" r:id="rId7"/>
      <w:footerReference w:type="firs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jc w:val="center"/>
    </w:pPr>
    <w:r>
      <w:rPr>
        <w:rFonts w:ascii="Arial" w:cs="Arial" w:eastAsia="Arial" w:hAnsi="Arial"/>
        <w:color w:val="666666"/>
        <w:sz w:val="16"/>
        <w:szCs w:val="16"/>
      </w:rPr>
      <w:t xml:space="preserve">Case Study 19: Reusable Moving Boxes  |  Aaryan Keni  |  150096725197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sz w:val="28"/>
      <w:szCs w:val="28"/>
    </w:rPr>
  </w:style>
  <w:style w:type="paragraph" w:styleId="Heading2">
    <w:name w:val="Heading 2"/>
    <w:basedOn w:val="Normal"/>
    <w:next w:val="Normal"/>
    <w:qFormat/>
    <w:pPr>
      <w:spacing w:after="100" w:before="22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05b0e5de9aacb1de139781d485c341b4df2d03ca.png"/><Relationship Id="rId10" Type="http://schemas.openxmlformats.org/officeDocument/2006/relationships/image" Target="media/4c17b5315fa7a0da8b4f9bf00831890b989d039d.png"/><Relationship Id="rId11" Type="http://schemas.openxmlformats.org/officeDocument/2006/relationships/image" Target="media/aca4f259f78b088658bbcf07f704b2c6c923d50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19: Reusable Moving Boxes (MoveLoop)</dc:title>
  <dc:creator>Aaryan Keni</dc:creator>
  <cp:lastModifiedBy>Un-named</cp:lastModifiedBy>
  <cp:revision>1</cp:revision>
  <dcterms:created xsi:type="dcterms:W3CDTF">2026-09-29T19:28:51.618Z</dcterms:created>
  <dcterms:modified xsi:type="dcterms:W3CDTF">2026-09-29T19:28:51.629Z</dcterms:modified>
</cp:coreProperties>
</file>

<file path=docProps/custom.xml><?xml version="1.0" encoding="utf-8"?>
<Properties xmlns="http://schemas.openxmlformats.org/officeDocument/2006/custom-properties" xmlns:vt="http://schemas.openxmlformats.org/officeDocument/2006/docPropsVTypes"/>
</file>