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F3B1" w14:textId="2977B4F2" w:rsidR="00D73DD4" w:rsidRPr="00A61A80" w:rsidRDefault="00A27D7F">
      <w:pPr>
        <w:spacing w:after="15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color w:val="9C7A1E"/>
          <w:spacing w:val="10"/>
          <w:sz w:val="18"/>
          <w:szCs w:val="18"/>
        </w:rPr>
        <w:t xml:space="preserve">TOTAL REWARDS </w:t>
      </w:r>
      <w:r w:rsidR="00000000" w:rsidRPr="00A61A80">
        <w:rPr>
          <w:rFonts w:ascii="Calibri" w:hAnsi="Calibri" w:cs="Calibri"/>
          <w:b/>
          <w:bCs/>
          <w:color w:val="9C7A1E"/>
          <w:spacing w:val="10"/>
          <w:sz w:val="18"/>
          <w:szCs w:val="18"/>
        </w:rPr>
        <w:t>ANALYTICS</w:t>
      </w:r>
    </w:p>
    <w:p w14:paraId="4DA4B0CE" w14:textId="77777777" w:rsidR="00D73DD4" w:rsidRPr="00A61A80" w:rsidRDefault="00000000">
      <w:pPr>
        <w:spacing w:after="90"/>
        <w:rPr>
          <w:rFonts w:ascii="Calibri" w:hAnsi="Calibri" w:cs="Calibri"/>
          <w:sz w:val="24"/>
          <w:szCs w:val="24"/>
        </w:rPr>
      </w:pPr>
      <w:r w:rsidRPr="00A61A80">
        <w:rPr>
          <w:rFonts w:ascii="Calibri" w:hAnsi="Calibri" w:cs="Calibri"/>
          <w:b/>
          <w:bCs/>
          <w:color w:val="1F2937"/>
          <w:sz w:val="40"/>
          <w:szCs w:val="40"/>
        </w:rPr>
        <w:t>Executive Summary</w:t>
      </w:r>
    </w:p>
    <w:p w14:paraId="421FB111" w14:textId="77777777" w:rsidR="00D73DD4" w:rsidRPr="00A61A80" w:rsidRDefault="00000000">
      <w:pPr>
        <w:pBdr>
          <w:left w:val="single" w:sz="24" w:space="8" w:color="9C7A1E"/>
        </w:pBdr>
        <w:shd w:val="clear" w:color="auto" w:fill="F6F1E3"/>
        <w:spacing w:before="50" w:after="180"/>
        <w:ind w:left="40"/>
        <w:rPr>
          <w:rFonts w:ascii="Calibri" w:hAnsi="Calibri" w:cs="Calibri"/>
          <w:sz w:val="24"/>
          <w:szCs w:val="24"/>
        </w:rPr>
      </w:pPr>
      <w:r w:rsidRPr="00A61A80">
        <w:rPr>
          <w:rFonts w:ascii="Calibri" w:hAnsi="Calibri" w:cs="Calibri"/>
          <w:b/>
          <w:bCs/>
          <w:color w:val="1F2937"/>
          <w:sz w:val="22"/>
          <w:szCs w:val="22"/>
        </w:rPr>
        <w:t xml:space="preserve">Bottom line: </w:t>
      </w:r>
      <w:r w:rsidRPr="00A61A80">
        <w:rPr>
          <w:rFonts w:ascii="Calibri" w:hAnsi="Calibri" w:cs="Calibri"/>
          <w:color w:val="222222"/>
          <w:sz w:val="22"/>
          <w:szCs w:val="22"/>
        </w:rPr>
        <w:t>Benefit spend in this org isn’t being governed — it’s happening by default. Cost concentrates in two units nobody has reviewed, plan tier tracks nothing, and the real pay-equity story is who gets promoted, not who gets paid.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2093"/>
        <w:gridCol w:w="2094"/>
        <w:gridCol w:w="2093"/>
        <w:gridCol w:w="2093"/>
      </w:tblGrid>
      <w:tr w:rsidR="00D73DD4" w:rsidRPr="00A61A80" w14:paraId="3F596EEA" w14:textId="77777777">
        <w:tc>
          <w:tcPr>
            <w:tcW w:w="2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50" w:type="dxa"/>
              <w:bottom w:w="120" w:type="dxa"/>
              <w:right w:w="50" w:type="dxa"/>
            </w:tcMar>
            <w:vAlign w:val="center"/>
          </w:tcPr>
          <w:p w14:paraId="54D8B809" w14:textId="77777777" w:rsidR="00D73DD4" w:rsidRPr="00A61A80" w:rsidRDefault="00000000">
            <w:pPr>
              <w:spacing w:after="2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b/>
                <w:bCs/>
                <w:color w:val="F2C94C"/>
                <w:sz w:val="32"/>
                <w:szCs w:val="32"/>
              </w:rPr>
              <w:t>492</w:t>
            </w:r>
          </w:p>
          <w:p w14:paraId="19190976" w14:textId="77777777" w:rsidR="00D73DD4" w:rsidRPr="00A61A80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caps/>
                <w:color w:val="D9DEE6"/>
                <w:spacing w:val="4"/>
                <w:sz w:val="16"/>
                <w:szCs w:val="16"/>
              </w:rPr>
              <w:t>Headcount</w:t>
            </w:r>
          </w:p>
        </w:tc>
        <w:tc>
          <w:tcPr>
            <w:tcW w:w="2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50" w:type="dxa"/>
              <w:bottom w:w="120" w:type="dxa"/>
              <w:right w:w="50" w:type="dxa"/>
            </w:tcMar>
            <w:vAlign w:val="center"/>
          </w:tcPr>
          <w:p w14:paraId="708CC5B0" w14:textId="77777777" w:rsidR="00D73DD4" w:rsidRPr="00A61A80" w:rsidRDefault="00000000">
            <w:pPr>
              <w:spacing w:after="2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b/>
                <w:bCs/>
                <w:color w:val="F2C94C"/>
                <w:sz w:val="32"/>
                <w:szCs w:val="32"/>
              </w:rPr>
              <w:t>23.4%</w:t>
            </w:r>
          </w:p>
          <w:p w14:paraId="6388D843" w14:textId="77777777" w:rsidR="00D73DD4" w:rsidRPr="00A61A80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caps/>
                <w:color w:val="D9DEE6"/>
                <w:spacing w:val="4"/>
                <w:sz w:val="16"/>
                <w:szCs w:val="16"/>
              </w:rPr>
              <w:t>High-Cost Rate</w:t>
            </w:r>
          </w:p>
        </w:tc>
        <w:tc>
          <w:tcPr>
            <w:tcW w:w="20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50" w:type="dxa"/>
              <w:bottom w:w="120" w:type="dxa"/>
              <w:right w:w="50" w:type="dxa"/>
            </w:tcMar>
            <w:vAlign w:val="center"/>
          </w:tcPr>
          <w:p w14:paraId="13DD6EC4" w14:textId="77777777" w:rsidR="00D73DD4" w:rsidRPr="00A61A80" w:rsidRDefault="00000000">
            <w:pPr>
              <w:spacing w:after="2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b/>
                <w:bCs/>
                <w:color w:val="F2C94C"/>
                <w:sz w:val="32"/>
                <w:szCs w:val="32"/>
              </w:rPr>
              <w:t>9.34% → &lt;3%</w:t>
            </w:r>
          </w:p>
          <w:p w14:paraId="30EF0250" w14:textId="77777777" w:rsidR="00D73DD4" w:rsidRPr="00A61A80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caps/>
                <w:color w:val="D9DEE6"/>
                <w:spacing w:val="4"/>
                <w:sz w:val="16"/>
                <w:szCs w:val="16"/>
              </w:rPr>
              <w:t>Pay Gap, Raw → Band-Controlled</w:t>
            </w:r>
          </w:p>
        </w:tc>
        <w:tc>
          <w:tcPr>
            <w:tcW w:w="2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50" w:type="dxa"/>
              <w:bottom w:w="120" w:type="dxa"/>
              <w:right w:w="50" w:type="dxa"/>
            </w:tcMar>
            <w:vAlign w:val="center"/>
          </w:tcPr>
          <w:p w14:paraId="5C3877E0" w14:textId="77777777" w:rsidR="00D73DD4" w:rsidRPr="00A61A80" w:rsidRDefault="00000000">
            <w:pPr>
              <w:spacing w:after="2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b/>
                <w:bCs/>
                <w:color w:val="F2C94C"/>
                <w:sz w:val="32"/>
                <w:szCs w:val="32"/>
              </w:rPr>
              <w:t>36%</w:t>
            </w:r>
          </w:p>
          <w:p w14:paraId="7D5BAAC8" w14:textId="77777777" w:rsidR="00D73DD4" w:rsidRPr="00A61A80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caps/>
                <w:color w:val="D9DEE6"/>
                <w:spacing w:val="4"/>
                <w:sz w:val="16"/>
                <w:szCs w:val="16"/>
              </w:rPr>
              <w:t>Female Share at Lead</w:t>
            </w:r>
          </w:p>
        </w:tc>
        <w:tc>
          <w:tcPr>
            <w:tcW w:w="2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2937"/>
            <w:tcMar>
              <w:top w:w="120" w:type="dxa"/>
              <w:left w:w="50" w:type="dxa"/>
              <w:bottom w:w="120" w:type="dxa"/>
              <w:right w:w="50" w:type="dxa"/>
            </w:tcMar>
            <w:vAlign w:val="center"/>
          </w:tcPr>
          <w:p w14:paraId="40B3B5C4" w14:textId="77777777" w:rsidR="00D73DD4" w:rsidRPr="00A61A80" w:rsidRDefault="00000000">
            <w:pPr>
              <w:spacing w:after="2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b/>
                <w:bCs/>
                <w:color w:val="F2C94C"/>
                <w:sz w:val="32"/>
                <w:szCs w:val="32"/>
              </w:rPr>
              <w:t>₹58.7L/yr</w:t>
            </w:r>
          </w:p>
          <w:p w14:paraId="4950E476" w14:textId="77777777" w:rsidR="00D73DD4" w:rsidRPr="00A61A80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61A80">
              <w:rPr>
                <w:rFonts w:ascii="Calibri" w:hAnsi="Calibri" w:cs="Calibri"/>
                <w:caps/>
                <w:color w:val="D9DEE6"/>
                <w:spacing w:val="4"/>
                <w:sz w:val="16"/>
                <w:szCs w:val="16"/>
              </w:rPr>
              <w:t>Est. Tier Misalignment Cost</w:t>
            </w:r>
          </w:p>
        </w:tc>
      </w:tr>
    </w:tbl>
    <w:p w14:paraId="6500DDFF" w14:textId="77777777" w:rsidR="00D73DD4" w:rsidRPr="00A61A80" w:rsidRDefault="00000000">
      <w:pPr>
        <w:pBdr>
          <w:bottom w:val="single" w:sz="6" w:space="3" w:color="1F2937"/>
        </w:pBdr>
        <w:spacing w:before="180" w:after="80"/>
        <w:rPr>
          <w:rFonts w:ascii="Calibri" w:hAnsi="Calibri" w:cs="Calibri"/>
          <w:sz w:val="24"/>
          <w:szCs w:val="24"/>
        </w:rPr>
      </w:pPr>
      <w:r w:rsidRPr="00A61A80">
        <w:rPr>
          <w:rFonts w:ascii="Calibri" w:hAnsi="Calibri" w:cs="Calibri"/>
          <w:b/>
          <w:bCs/>
          <w:caps/>
          <w:color w:val="1F2937"/>
          <w:spacing w:val="8"/>
          <w:sz w:val="22"/>
          <w:szCs w:val="22"/>
        </w:rPr>
        <w:t>Findings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3489"/>
        <w:gridCol w:w="3488"/>
      </w:tblGrid>
      <w:tr w:rsidR="00D73DD4" w:rsidRPr="00A61A80" w14:paraId="7A5AA9AA" w14:textId="77777777"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517B6A" w14:textId="77777777" w:rsidR="00D73DD4" w:rsidRPr="00A61A80" w:rsidRDefault="00000000">
            <w:pPr>
              <w:spacing w:after="50"/>
              <w:rPr>
                <w:rFonts w:ascii="Calibri" w:hAnsi="Calibri" w:cs="Calibri"/>
              </w:rPr>
            </w:pPr>
            <w:r w:rsidRPr="00A61A80">
              <w:rPr>
                <w:rFonts w:ascii="Calibri" w:hAnsi="Calibri" w:cs="Calibri"/>
                <w:b/>
                <w:bCs/>
                <w:color w:val="1F2937"/>
              </w:rPr>
              <w:t>Cost should track headcount — it doesn’t</w:t>
            </w:r>
          </w:p>
          <w:p w14:paraId="69F89468" w14:textId="77777777" w:rsidR="00D73DD4" w:rsidRPr="00A61A80" w:rsidRDefault="00000000">
            <w:pPr>
              <w:rPr>
                <w:rFonts w:ascii="Calibri" w:hAnsi="Calibri" w:cs="Calibri"/>
              </w:rPr>
            </w:pPr>
            <w:r w:rsidRPr="00A61A80">
              <w:rPr>
                <w:rFonts w:ascii="Calibri" w:hAnsi="Calibri" w:cs="Calibri"/>
                <w:color w:val="2B2B2B"/>
              </w:rPr>
              <w:t>Finance–Hyderabad and Sales–Gurugram run 8–11 pts above the 23.4% company high-cost average, on just 11% of headcount.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0624036" w14:textId="77777777" w:rsidR="00D73DD4" w:rsidRPr="00A61A80" w:rsidRDefault="00000000">
            <w:pPr>
              <w:spacing w:after="50"/>
              <w:rPr>
                <w:rFonts w:ascii="Calibri" w:hAnsi="Calibri" w:cs="Calibri"/>
              </w:rPr>
            </w:pPr>
            <w:r w:rsidRPr="00A61A80">
              <w:rPr>
                <w:rFonts w:ascii="Calibri" w:hAnsi="Calibri" w:cs="Calibri"/>
                <w:b/>
                <w:bCs/>
                <w:color w:val="1F2937"/>
              </w:rPr>
              <w:t>A systemic pay gap should hold across levels — it doesn’t</w:t>
            </w:r>
          </w:p>
          <w:p w14:paraId="544616B5" w14:textId="77777777" w:rsidR="00D73DD4" w:rsidRPr="00A61A80" w:rsidRDefault="00000000">
            <w:pPr>
              <w:rPr>
                <w:rFonts w:ascii="Calibri" w:hAnsi="Calibri" w:cs="Calibri"/>
              </w:rPr>
            </w:pPr>
            <w:r w:rsidRPr="00A61A80">
              <w:rPr>
                <w:rFonts w:ascii="Calibri" w:hAnsi="Calibri" w:cs="Calibri"/>
                <w:color w:val="2B2B2B"/>
              </w:rPr>
              <w:t>Raw 9.34% collapses under 3% once band-controlled and flips direction twice. The real drop is headcount: 53% → 36% female share, Junior to Lead.</w:t>
            </w:r>
          </w:p>
        </w:tc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E1F559" w14:textId="77777777" w:rsidR="00D73DD4" w:rsidRPr="00A61A80" w:rsidRDefault="00000000">
            <w:pPr>
              <w:spacing w:after="50"/>
              <w:rPr>
                <w:rFonts w:ascii="Calibri" w:hAnsi="Calibri" w:cs="Calibri"/>
              </w:rPr>
            </w:pPr>
            <w:r w:rsidRPr="00A61A80">
              <w:rPr>
                <w:rFonts w:ascii="Calibri" w:hAnsi="Calibri" w:cs="Calibri"/>
                <w:b/>
                <w:bCs/>
                <w:color w:val="1F2937"/>
              </w:rPr>
              <w:t>Benefit tier should scale with seniority — it doesn’t</w:t>
            </w:r>
          </w:p>
          <w:p w14:paraId="3A8E2628" w14:textId="77777777" w:rsidR="00D73DD4" w:rsidRPr="00A61A80" w:rsidRDefault="00000000">
            <w:pPr>
              <w:rPr>
                <w:rFonts w:ascii="Calibri" w:hAnsi="Calibri" w:cs="Calibri"/>
              </w:rPr>
            </w:pPr>
            <w:r w:rsidRPr="00A61A80">
              <w:rPr>
                <w:rFonts w:ascii="Calibri" w:hAnsi="Calibri" w:cs="Calibri"/>
                <w:color w:val="2B2B2B"/>
              </w:rPr>
              <w:t xml:space="preserve">Gold/Silver/Bronze </w:t>
            </w:r>
            <w:proofErr w:type="spellStart"/>
            <w:r w:rsidRPr="00A61A80">
              <w:rPr>
                <w:rFonts w:ascii="Calibri" w:hAnsi="Calibri" w:cs="Calibri"/>
                <w:color w:val="2B2B2B"/>
              </w:rPr>
              <w:t>enrollees</w:t>
            </w:r>
            <w:proofErr w:type="spellEnd"/>
            <w:r w:rsidRPr="00A61A80">
              <w:rPr>
                <w:rFonts w:ascii="Calibri" w:hAnsi="Calibri" w:cs="Calibri"/>
                <w:color w:val="2B2B2B"/>
              </w:rPr>
              <w:t xml:space="preserve"> spread flat across ₹50K–250K salary. 110 Junior + Mid employees sit on Gold (</w:t>
            </w:r>
            <w:proofErr w:type="spellStart"/>
            <w:r w:rsidRPr="00A61A80">
              <w:rPr>
                <w:rFonts w:ascii="Calibri" w:hAnsi="Calibri" w:cs="Calibri"/>
                <w:color w:val="2B2B2B"/>
              </w:rPr>
              <w:t>avg</w:t>
            </w:r>
            <w:proofErr w:type="spellEnd"/>
            <w:r w:rsidRPr="00A61A80">
              <w:rPr>
                <w:rFonts w:ascii="Calibri" w:hAnsi="Calibri" w:cs="Calibri"/>
                <w:color w:val="2B2B2B"/>
              </w:rPr>
              <w:t xml:space="preserve"> ₹7,896/</w:t>
            </w:r>
            <w:proofErr w:type="spellStart"/>
            <w:r w:rsidRPr="00A61A80">
              <w:rPr>
                <w:rFonts w:ascii="Calibri" w:hAnsi="Calibri" w:cs="Calibri"/>
                <w:color w:val="2B2B2B"/>
              </w:rPr>
              <w:t>mo</w:t>
            </w:r>
            <w:proofErr w:type="spellEnd"/>
            <w:r w:rsidRPr="00A61A80">
              <w:rPr>
                <w:rFonts w:ascii="Calibri" w:hAnsi="Calibri" w:cs="Calibri"/>
                <w:color w:val="2B2B2B"/>
              </w:rPr>
              <w:t>) vs Silver (₹3,452/</w:t>
            </w:r>
            <w:proofErr w:type="spellStart"/>
            <w:r w:rsidRPr="00A61A80">
              <w:rPr>
                <w:rFonts w:ascii="Calibri" w:hAnsi="Calibri" w:cs="Calibri"/>
                <w:color w:val="2B2B2B"/>
              </w:rPr>
              <w:t>mo</w:t>
            </w:r>
            <w:proofErr w:type="spellEnd"/>
            <w:r w:rsidRPr="00A61A80">
              <w:rPr>
                <w:rFonts w:ascii="Calibri" w:hAnsi="Calibri" w:cs="Calibri"/>
                <w:color w:val="2B2B2B"/>
              </w:rPr>
              <w:t>).</w:t>
            </w:r>
          </w:p>
        </w:tc>
      </w:tr>
    </w:tbl>
    <w:p w14:paraId="032BD67F" w14:textId="77777777" w:rsidR="00D73DD4" w:rsidRPr="00A61A80" w:rsidRDefault="00000000">
      <w:pPr>
        <w:pBdr>
          <w:bottom w:val="single" w:sz="6" w:space="3" w:color="1F2937"/>
        </w:pBdr>
        <w:spacing w:before="180" w:after="80"/>
        <w:rPr>
          <w:rFonts w:ascii="Calibri" w:hAnsi="Calibri" w:cs="Calibri"/>
          <w:sz w:val="22"/>
          <w:szCs w:val="22"/>
        </w:rPr>
      </w:pPr>
      <w:r w:rsidRPr="00A61A80">
        <w:rPr>
          <w:rFonts w:ascii="Calibri" w:hAnsi="Calibri" w:cs="Calibri"/>
          <w:b/>
          <w:bCs/>
          <w:caps/>
          <w:color w:val="1F2937"/>
          <w:spacing w:val="8"/>
          <w:sz w:val="22"/>
          <w:szCs w:val="22"/>
        </w:rPr>
        <w:t>Recommendations</w:t>
      </w:r>
    </w:p>
    <w:p w14:paraId="43D083CE" w14:textId="77777777" w:rsidR="00D73DD4" w:rsidRPr="00A61A80" w:rsidRDefault="00D73DD4">
      <w:pPr>
        <w:spacing w:before="60" w:after="60"/>
        <w:rPr>
          <w:rFonts w:ascii="Calibri" w:hAnsi="Calibri" w:cs="Calibri"/>
          <w:sz w:val="24"/>
          <w:szCs w:val="24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73DD4" w:rsidRPr="00A61A80" w14:paraId="2F3990E1" w14:textId="77777777"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5D3C1F" w14:textId="4105E2F9" w:rsidR="00D73DD4" w:rsidRPr="00A61A80" w:rsidRDefault="00000000">
            <w:pPr>
              <w:spacing w:after="50"/>
              <w:rPr>
                <w:rFonts w:ascii="Calibri" w:hAnsi="Calibri" w:cs="Calibri"/>
                <w:sz w:val="28"/>
                <w:szCs w:val="28"/>
              </w:rPr>
            </w:pPr>
            <w:r w:rsidRPr="00A61A80">
              <w:rPr>
                <w:rFonts w:ascii="Calibri" w:hAnsi="Calibri" w:cs="Calibri"/>
                <w:b/>
                <w:bCs/>
                <w:color w:val="9C7A1E"/>
                <w:sz w:val="28"/>
                <w:szCs w:val="28"/>
              </w:rPr>
              <w:t xml:space="preserve">1 </w:t>
            </w:r>
            <w:r w:rsidRPr="00A61A80">
              <w:rPr>
                <w:rFonts w:ascii="Calibri" w:hAnsi="Calibri" w:cs="Calibri"/>
                <w:b/>
                <w:bCs/>
                <w:color w:val="1F2937"/>
                <w:sz w:val="22"/>
                <w:szCs w:val="22"/>
              </w:rPr>
              <w:t>Investigate two units first</w:t>
            </w:r>
          </w:p>
          <w:p w14:paraId="60D84A46" w14:textId="77777777" w:rsidR="00D73DD4" w:rsidRPr="00A61A8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A61A80">
              <w:rPr>
                <w:rFonts w:ascii="Calibri" w:hAnsi="Calibri" w:cs="Calibri"/>
                <w:color w:val="2B2B2B"/>
              </w:rPr>
              <w:t>Review plan mix and vendor rates in Finance–Hyderabad and Sales–Gurugram before any company-wide change — best cost-to-effort ratio.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A6578A" w14:textId="1BF27F2F" w:rsidR="00D73DD4" w:rsidRPr="00A61A80" w:rsidRDefault="00000000">
            <w:pPr>
              <w:spacing w:after="50"/>
              <w:rPr>
                <w:rFonts w:ascii="Calibri" w:hAnsi="Calibri" w:cs="Calibri"/>
                <w:sz w:val="28"/>
                <w:szCs w:val="28"/>
              </w:rPr>
            </w:pPr>
            <w:r w:rsidRPr="00A61A80">
              <w:rPr>
                <w:rFonts w:ascii="Calibri" w:hAnsi="Calibri" w:cs="Calibri"/>
                <w:b/>
                <w:bCs/>
                <w:color w:val="9C7A1E"/>
                <w:sz w:val="28"/>
                <w:szCs w:val="28"/>
              </w:rPr>
              <w:t xml:space="preserve">2 </w:t>
            </w:r>
            <w:r w:rsidRPr="00A61A80">
              <w:rPr>
                <w:rFonts w:ascii="Calibri" w:hAnsi="Calibri" w:cs="Calibri"/>
                <w:b/>
                <w:bCs/>
                <w:color w:val="1F2937"/>
                <w:sz w:val="22"/>
                <w:szCs w:val="22"/>
              </w:rPr>
              <w:t>Don’t touch pay bands</w:t>
            </w:r>
          </w:p>
          <w:p w14:paraId="5C79297D" w14:textId="77777777" w:rsidR="00D73DD4" w:rsidRPr="00A61A8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A61A80">
              <w:rPr>
                <w:rFonts w:ascii="Calibri" w:hAnsi="Calibri" w:cs="Calibri"/>
                <w:color w:val="2B2B2B"/>
              </w:rPr>
              <w:t>Band-controlled gaps sit within normal range in both directions — a pay correction would spend budget on a gap the data doesn’t show.</w:t>
            </w:r>
          </w:p>
        </w:tc>
      </w:tr>
    </w:tbl>
    <w:p w14:paraId="4E77D3DD" w14:textId="77777777" w:rsidR="00D73DD4" w:rsidRPr="00A61A80" w:rsidRDefault="00D73DD4">
      <w:pPr>
        <w:spacing w:before="60" w:after="60"/>
        <w:rPr>
          <w:rFonts w:ascii="Calibri" w:hAnsi="Calibri" w:cs="Calibri"/>
          <w:sz w:val="28"/>
          <w:szCs w:val="28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D73DD4" w:rsidRPr="00A61A80" w14:paraId="317EA725" w14:textId="77777777" w:rsidTr="00A61A80">
        <w:trPr>
          <w:trHeight w:val="15"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607B41A" w14:textId="19E14D71" w:rsidR="00D73DD4" w:rsidRPr="00A61A80" w:rsidRDefault="00000000">
            <w:pPr>
              <w:spacing w:after="50"/>
              <w:rPr>
                <w:rFonts w:ascii="Calibri" w:hAnsi="Calibri" w:cs="Calibri"/>
                <w:sz w:val="28"/>
                <w:szCs w:val="28"/>
              </w:rPr>
            </w:pPr>
            <w:r w:rsidRPr="00A61A80">
              <w:rPr>
                <w:rFonts w:ascii="Calibri" w:hAnsi="Calibri" w:cs="Calibri"/>
                <w:b/>
                <w:bCs/>
                <w:color w:val="9C7A1E"/>
                <w:sz w:val="28"/>
                <w:szCs w:val="28"/>
              </w:rPr>
              <w:t xml:space="preserve">3 </w:t>
            </w:r>
            <w:r w:rsidRPr="00A61A80">
              <w:rPr>
                <w:rFonts w:ascii="Calibri" w:hAnsi="Calibri" w:cs="Calibri"/>
                <w:b/>
                <w:bCs/>
                <w:color w:val="1F2937"/>
                <w:sz w:val="22"/>
                <w:szCs w:val="22"/>
              </w:rPr>
              <w:t>Audit the Lead promotion path</w:t>
            </w:r>
          </w:p>
          <w:p w14:paraId="50953C16" w14:textId="280D9FFE" w:rsidR="00D73DD4" w:rsidRPr="00A61A8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A61A80">
              <w:rPr>
                <w:rFonts w:ascii="Calibri" w:hAnsi="Calibri" w:cs="Calibri"/>
                <w:color w:val="2B2B2B"/>
              </w:rPr>
              <w:t>Check Senior</w:t>
            </w:r>
            <w:r w:rsidR="00A61A80" w:rsidRPr="00A61A80">
              <w:rPr>
                <w:rFonts w:ascii="Calibri" w:hAnsi="Calibri" w:cs="Calibri"/>
                <w:color w:val="2B2B2B"/>
              </w:rPr>
              <w:t xml:space="preserve"> </w:t>
            </w:r>
            <w:r w:rsidRPr="00A61A80">
              <w:rPr>
                <w:rFonts w:ascii="Calibri" w:hAnsi="Calibri" w:cs="Calibri"/>
                <w:color w:val="2B2B2B"/>
              </w:rPr>
              <w:t>→</w:t>
            </w:r>
            <w:r w:rsidR="00A61A80" w:rsidRPr="00A61A80">
              <w:rPr>
                <w:rFonts w:ascii="Calibri" w:hAnsi="Calibri" w:cs="Calibri"/>
                <w:color w:val="2B2B2B"/>
              </w:rPr>
              <w:t xml:space="preserve"> </w:t>
            </w:r>
            <w:r w:rsidRPr="00A61A80">
              <w:rPr>
                <w:rFonts w:ascii="Calibri" w:hAnsi="Calibri" w:cs="Calibri"/>
                <w:color w:val="2B2B2B"/>
              </w:rPr>
              <w:t>Lead promotion criteria for gender-neutral application — the equity issue is who gets promoted, not who gets paid.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82EEE63" w14:textId="36F2CEC0" w:rsidR="00D73DD4" w:rsidRPr="00A61A80" w:rsidRDefault="00000000">
            <w:pPr>
              <w:spacing w:after="50"/>
              <w:rPr>
                <w:rFonts w:ascii="Calibri" w:hAnsi="Calibri" w:cs="Calibri"/>
                <w:sz w:val="28"/>
                <w:szCs w:val="28"/>
              </w:rPr>
            </w:pPr>
            <w:r w:rsidRPr="00A61A80">
              <w:rPr>
                <w:rFonts w:ascii="Calibri" w:hAnsi="Calibri" w:cs="Calibri"/>
                <w:b/>
                <w:bCs/>
                <w:color w:val="9C7A1E"/>
                <w:sz w:val="28"/>
                <w:szCs w:val="28"/>
              </w:rPr>
              <w:t xml:space="preserve">4 </w:t>
            </w:r>
            <w:r w:rsidRPr="00A61A80">
              <w:rPr>
                <w:rFonts w:ascii="Calibri" w:hAnsi="Calibri" w:cs="Calibri"/>
                <w:b/>
                <w:bCs/>
                <w:color w:val="1F2937"/>
                <w:sz w:val="22"/>
                <w:szCs w:val="22"/>
              </w:rPr>
              <w:t>Formalize a tier-to-grade policy</w:t>
            </w:r>
          </w:p>
          <w:p w14:paraId="0B7C1001" w14:textId="77777777" w:rsidR="00D73DD4" w:rsidRPr="00A61A80" w:rsidRDefault="00000000">
            <w:pPr>
              <w:rPr>
                <w:rFonts w:ascii="Calibri" w:hAnsi="Calibri" w:cs="Calibri"/>
                <w:sz w:val="28"/>
                <w:szCs w:val="28"/>
              </w:rPr>
            </w:pPr>
            <w:r w:rsidRPr="00A61A80">
              <w:rPr>
                <w:rFonts w:ascii="Calibri" w:hAnsi="Calibri" w:cs="Calibri"/>
                <w:color w:val="2B2B2B"/>
              </w:rPr>
              <w:t>Capping Junior/Mid eligibility at Silver would cut an estimated ₹4.89L/month (~₹58.7L/year) in premium spend currently happening by default, not by policy.</w:t>
            </w:r>
          </w:p>
        </w:tc>
      </w:tr>
      <w:tr w:rsidR="00A27D7F" w:rsidRPr="00A61A80" w14:paraId="3612AF14" w14:textId="77777777" w:rsidTr="00A61A80">
        <w:trPr>
          <w:trHeight w:val="15"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90304B4" w14:textId="77777777" w:rsidR="00A27D7F" w:rsidRPr="00A61A80" w:rsidRDefault="00A27D7F">
            <w:pPr>
              <w:spacing w:after="50"/>
              <w:rPr>
                <w:rFonts w:ascii="Calibri" w:hAnsi="Calibri" w:cs="Calibri"/>
                <w:b/>
                <w:bCs/>
                <w:color w:val="9C7A1E"/>
                <w:sz w:val="28"/>
                <w:szCs w:val="28"/>
              </w:rPr>
            </w:pP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F1E3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3D82510" w14:textId="77777777" w:rsidR="00A27D7F" w:rsidRPr="00A61A80" w:rsidRDefault="00A27D7F">
            <w:pPr>
              <w:spacing w:after="50"/>
              <w:rPr>
                <w:rFonts w:ascii="Calibri" w:hAnsi="Calibri" w:cs="Calibri"/>
                <w:b/>
                <w:bCs/>
                <w:color w:val="9C7A1E"/>
                <w:sz w:val="28"/>
                <w:szCs w:val="28"/>
              </w:rPr>
            </w:pPr>
          </w:p>
        </w:tc>
      </w:tr>
    </w:tbl>
    <w:p w14:paraId="62DEF36E" w14:textId="6F776D09" w:rsidR="00D73DD4" w:rsidRPr="00A61A80" w:rsidRDefault="00000000">
      <w:pPr>
        <w:pBdr>
          <w:top w:val="single" w:sz="4" w:space="6" w:color="CCCCCC"/>
        </w:pBdr>
        <w:spacing w:before="180"/>
        <w:rPr>
          <w:rFonts w:ascii="Calibri" w:hAnsi="Calibri" w:cs="Calibri"/>
          <w:sz w:val="28"/>
          <w:szCs w:val="28"/>
        </w:rPr>
      </w:pPr>
      <w:r w:rsidRPr="00A61A80">
        <w:rPr>
          <w:rFonts w:ascii="Calibri" w:hAnsi="Calibri" w:cs="Calibri"/>
          <w:b/>
          <w:bCs/>
          <w:color w:val="1F2937"/>
        </w:rPr>
        <w:t xml:space="preserve">Decision enabled: </w:t>
      </w:r>
      <w:r w:rsidRPr="00A61A80">
        <w:rPr>
          <w:rFonts w:ascii="Calibri" w:hAnsi="Calibri" w:cs="Calibri"/>
          <w:i/>
          <w:iCs/>
          <w:color w:val="595959"/>
        </w:rPr>
        <w:t xml:space="preserve">fund a targeted plan/vendor review for two units instead of a company-wide one, redirect the pay-gap conversation toward promotion pipeline, and set a tier-to-grade rule for benefit </w:t>
      </w:r>
      <w:r w:rsidR="00A61A80" w:rsidRPr="00A61A80">
        <w:rPr>
          <w:rFonts w:ascii="Calibri" w:hAnsi="Calibri" w:cs="Calibri"/>
          <w:i/>
          <w:iCs/>
          <w:color w:val="595959"/>
        </w:rPr>
        <w:t>enrolments</w:t>
      </w:r>
      <w:r w:rsidRPr="00A61A80">
        <w:rPr>
          <w:rFonts w:ascii="Calibri" w:hAnsi="Calibri" w:cs="Calibri"/>
          <w:i/>
          <w:iCs/>
          <w:color w:val="595959"/>
        </w:rPr>
        <w:t>.</w:t>
      </w:r>
    </w:p>
    <w:p w14:paraId="1E2DBD9F" w14:textId="11A99639" w:rsidR="00D73DD4" w:rsidRPr="00A61A80" w:rsidRDefault="00000000">
      <w:pPr>
        <w:spacing w:before="120"/>
        <w:rPr>
          <w:rFonts w:ascii="Calibri" w:hAnsi="Calibri" w:cs="Calibri"/>
          <w:sz w:val="28"/>
          <w:szCs w:val="28"/>
        </w:rPr>
      </w:pPr>
      <w:r w:rsidRPr="00A61A80">
        <w:rPr>
          <w:rFonts w:ascii="Calibri" w:hAnsi="Calibri" w:cs="Calibri"/>
          <w:color w:val="999999"/>
          <w:sz w:val="18"/>
          <w:szCs w:val="18"/>
        </w:rPr>
        <w:t xml:space="preserve">Source: 492-employee rewards &amp; benefits </w:t>
      </w:r>
      <w:r w:rsidR="00A61A80" w:rsidRPr="00A61A80">
        <w:rPr>
          <w:rFonts w:ascii="Calibri" w:hAnsi="Calibri" w:cs="Calibri"/>
          <w:color w:val="999999"/>
          <w:sz w:val="18"/>
          <w:szCs w:val="18"/>
        </w:rPr>
        <w:t>dataset •</w:t>
      </w:r>
      <w:r w:rsidRPr="00A61A80">
        <w:rPr>
          <w:rFonts w:ascii="Calibri" w:hAnsi="Calibri" w:cs="Calibri"/>
          <w:color w:val="999999"/>
          <w:sz w:val="18"/>
          <w:szCs w:val="18"/>
        </w:rPr>
        <w:t xml:space="preserve"> Aarya Verma, </w:t>
      </w:r>
      <w:r w:rsidR="00A61A80">
        <w:rPr>
          <w:rFonts w:ascii="Calibri" w:hAnsi="Calibri" w:cs="Calibri"/>
          <w:color w:val="999999"/>
          <w:sz w:val="18"/>
          <w:szCs w:val="18"/>
        </w:rPr>
        <w:t xml:space="preserve">Total Rewards </w:t>
      </w:r>
      <w:r w:rsidR="00A61A80" w:rsidRPr="00A61A80">
        <w:rPr>
          <w:rFonts w:ascii="Calibri" w:hAnsi="Calibri" w:cs="Calibri"/>
          <w:color w:val="999999"/>
          <w:sz w:val="18"/>
          <w:szCs w:val="18"/>
        </w:rPr>
        <w:t>Analyst •</w:t>
      </w:r>
      <w:r w:rsidRPr="00A61A80">
        <w:rPr>
          <w:rFonts w:ascii="Calibri" w:hAnsi="Calibri" w:cs="Calibri"/>
          <w:color w:val="999999"/>
          <w:sz w:val="18"/>
          <w:szCs w:val="18"/>
        </w:rPr>
        <w:t xml:space="preserve"> Full dashboard: Excel + Power BI</w:t>
      </w:r>
    </w:p>
    <w:sectPr w:rsidR="00D73DD4" w:rsidRPr="00A61A80">
      <w:pgSz w:w="11906" w:h="16838"/>
      <w:pgMar w:top="560" w:right="620" w:bottom="5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35999"/>
    <w:multiLevelType w:val="hybridMultilevel"/>
    <w:tmpl w:val="1792857C"/>
    <w:lvl w:ilvl="0" w:tplc="45CE5E6C">
      <w:start w:val="1"/>
      <w:numFmt w:val="bullet"/>
      <w:lvlText w:val="●"/>
      <w:lvlJc w:val="left"/>
      <w:pPr>
        <w:ind w:left="720" w:hanging="360"/>
      </w:pPr>
    </w:lvl>
    <w:lvl w:ilvl="1" w:tplc="DE94638E">
      <w:start w:val="1"/>
      <w:numFmt w:val="bullet"/>
      <w:lvlText w:val="○"/>
      <w:lvlJc w:val="left"/>
      <w:pPr>
        <w:ind w:left="1440" w:hanging="360"/>
      </w:pPr>
    </w:lvl>
    <w:lvl w:ilvl="2" w:tplc="A3E05E6C">
      <w:start w:val="1"/>
      <w:numFmt w:val="bullet"/>
      <w:lvlText w:val="■"/>
      <w:lvlJc w:val="left"/>
      <w:pPr>
        <w:ind w:left="2160" w:hanging="360"/>
      </w:pPr>
    </w:lvl>
    <w:lvl w:ilvl="3" w:tplc="AD4CE7B8">
      <w:start w:val="1"/>
      <w:numFmt w:val="bullet"/>
      <w:lvlText w:val="●"/>
      <w:lvlJc w:val="left"/>
      <w:pPr>
        <w:ind w:left="2880" w:hanging="360"/>
      </w:pPr>
    </w:lvl>
    <w:lvl w:ilvl="4" w:tplc="40428812">
      <w:start w:val="1"/>
      <w:numFmt w:val="bullet"/>
      <w:lvlText w:val="○"/>
      <w:lvlJc w:val="left"/>
      <w:pPr>
        <w:ind w:left="3600" w:hanging="360"/>
      </w:pPr>
    </w:lvl>
    <w:lvl w:ilvl="5" w:tplc="ACE457EA">
      <w:start w:val="1"/>
      <w:numFmt w:val="bullet"/>
      <w:lvlText w:val="■"/>
      <w:lvlJc w:val="left"/>
      <w:pPr>
        <w:ind w:left="4320" w:hanging="360"/>
      </w:pPr>
    </w:lvl>
    <w:lvl w:ilvl="6" w:tplc="2894F816">
      <w:start w:val="1"/>
      <w:numFmt w:val="bullet"/>
      <w:lvlText w:val="●"/>
      <w:lvlJc w:val="left"/>
      <w:pPr>
        <w:ind w:left="5040" w:hanging="360"/>
      </w:pPr>
    </w:lvl>
    <w:lvl w:ilvl="7" w:tplc="F8D8218A">
      <w:start w:val="1"/>
      <w:numFmt w:val="bullet"/>
      <w:lvlText w:val="●"/>
      <w:lvlJc w:val="left"/>
      <w:pPr>
        <w:ind w:left="5760" w:hanging="360"/>
      </w:pPr>
    </w:lvl>
    <w:lvl w:ilvl="8" w:tplc="F3548EAE">
      <w:start w:val="1"/>
      <w:numFmt w:val="bullet"/>
      <w:lvlText w:val="●"/>
      <w:lvlJc w:val="left"/>
      <w:pPr>
        <w:ind w:left="6480" w:hanging="360"/>
      </w:pPr>
    </w:lvl>
  </w:abstractNum>
  <w:num w:numId="1" w16cid:durableId="917784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DD4"/>
    <w:rsid w:val="00257E3A"/>
    <w:rsid w:val="00A27D7F"/>
    <w:rsid w:val="00A61A80"/>
    <w:rsid w:val="00A84422"/>
    <w:rsid w:val="00D7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48AF"/>
  <w15:docId w15:val="{6B28DEA3-2B0B-4677-93D8-F3C3C96B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aarya v</cp:lastModifiedBy>
  <cp:revision>3</cp:revision>
  <dcterms:created xsi:type="dcterms:W3CDTF">2026-07-21T18:48:00Z</dcterms:created>
  <dcterms:modified xsi:type="dcterms:W3CDTF">2026-07-21T19:00:00Z</dcterms:modified>
</cp:coreProperties>
</file>