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jc w:val="center"/>
      </w:pPr>
      <w:r>
        <w:rPr>
          <w:rFonts w:ascii="Times New Roman" w:hAnsi="Times New Roman"/>
          <w:b w:val="0"/>
          <w:i/>
        </w:rPr>
        <w:t>[SISIPKAN LOGO RESMI GTNIC 2026 DI SINI]</w:t>
      </w:r>
    </w:p>
    <w:p>
      <w:pPr>
        <w:spacing w:line="360" w:lineRule="auto" w:after="0"/>
        <w:jc w:val="center"/>
      </w:pPr>
      <w:r>
        <w:rPr>
          <w:rFonts w:ascii="Times New Roman" w:hAnsi="Times New Roman"/>
          <w:b/>
          <w:i w:val="0"/>
          <w:sz w:val="26"/>
        </w:rPr>
        <w:t>PROPOSAL KARYA</w:t>
      </w:r>
    </w:p>
    <w:p>
      <w:pPr>
        <w:spacing w:line="360" w:lineRule="auto" w:after="0"/>
        <w:jc w:val="center"/>
      </w:pPr>
      <w:r>
        <w:rPr>
          <w:rFonts w:ascii="Times New Roman" w:hAnsi="Times New Roman"/>
          <w:b/>
          <w:i w:val="0"/>
          <w:sz w:val="26"/>
        </w:rPr>
        <w:t>GARDA TECH NATIONAL INNOVATION COMPETITION (GTNIC) 2026</w:t>
      </w:r>
    </w:p>
    <w:p>
      <w:pPr>
        <w:spacing w:line="360" w:lineRule="auto" w:after="0"/>
        <w:jc w:val="center"/>
      </w:pPr>
      <w:r>
        <w:rPr>
          <w:rFonts w:ascii="Times New Roman" w:hAnsi="Times New Roman"/>
          <w:b w:val="0"/>
          <w:i w:val="0"/>
        </w:rPr>
        <w:t>Kategori Web Development</w:t>
      </w:r>
    </w:p>
    <w:p>
      <w:pPr>
        <w:spacing w:line="360" w:lineRule="auto" w:after="600"/>
        <w:jc w:val="center"/>
      </w:pPr>
      <w:r>
        <w:rPr>
          <w:rFonts w:ascii="Times New Roman" w:hAnsi="Times New Roman"/>
          <w:b w:val="0"/>
          <w:i w:val="0"/>
        </w:rPr>
        <w:t>Subtema: Accelerating Digital Transformation for Business and SMEs</w:t>
      </w:r>
    </w:p>
    <w:p>
      <w:pPr>
        <w:spacing w:line="360" w:lineRule="auto" w:after="720"/>
        <w:jc w:val="center"/>
      </w:pPr>
      <w:r>
        <w:rPr>
          <w:rFonts w:ascii="Times New Roman" w:hAnsi="Times New Roman"/>
          <w:b/>
          <w:i w:val="0"/>
          <w:sz w:val="36"/>
        </w:rPr>
        <w:t>LARIS — Workspace Operasional Terpadu untuk UMKM Food &amp; Beverage</w:t>
      </w:r>
    </w:p>
    <w:p>
      <w:pPr>
        <w:spacing w:line="360" w:lineRule="auto" w:after="120"/>
        <w:jc w:val="center"/>
      </w:pPr>
      <w:r>
        <w:rPr>
          <w:rFonts w:ascii="Times New Roman" w:hAnsi="Times New Roman"/>
          <w:b/>
          <w:i w:val="0"/>
        </w:rPr>
        <w:t>Nama Tim: [NAMA TIM]</w:t>
      </w:r>
    </w:p>
    <w:p>
      <w:pPr>
        <w:spacing w:line="360" w:lineRule="auto" w:after="0"/>
        <w:jc w:val="center"/>
      </w:pPr>
      <w:r>
        <w:rPr>
          <w:rFonts w:ascii="Times New Roman" w:hAnsi="Times New Roman"/>
          <w:b w:val="0"/>
          <w:i w:val="0"/>
        </w:rPr>
        <w:t>[Nama Anggota 1] — [Instansi/Perguruan Tinggi] — [NIM/NIS]</w:t>
      </w:r>
    </w:p>
    <w:p>
      <w:pPr>
        <w:spacing w:line="360" w:lineRule="auto" w:after="0"/>
        <w:jc w:val="center"/>
      </w:pPr>
      <w:r>
        <w:rPr>
          <w:rFonts w:ascii="Times New Roman" w:hAnsi="Times New Roman"/>
          <w:b w:val="0"/>
          <w:i w:val="0"/>
        </w:rPr>
        <w:t>[Nama Anggota 2] — [Instansi/Perguruan Tinggi] — [NIM/NIS]</w:t>
      </w:r>
    </w:p>
    <w:p>
      <w:pPr>
        <w:spacing w:line="360" w:lineRule="auto" w:after="0"/>
        <w:jc w:val="center"/>
      </w:pPr>
      <w:r>
        <w:rPr>
          <w:rFonts w:ascii="Times New Roman" w:hAnsi="Times New Roman"/>
          <w:b w:val="0"/>
          <w:i w:val="0"/>
        </w:rPr>
        <w:t>[Nama Anggota 3] — [Instansi/Perguruan Tinggi] — [NIM/NIS]</w:t>
      </w:r>
    </w:p>
    <w:p>
      <w:pPr>
        <w:spacing w:line="360" w:lineRule="auto" w:after="360"/>
        <w:jc w:val="center"/>
      </w:pPr>
      <w:r>
        <w:rPr>
          <w:rFonts w:ascii="Times New Roman" w:hAnsi="Times New Roman"/>
          <w:b w:val="0"/>
          <w:i w:val="0"/>
        </w:rPr>
      </w:r>
    </w:p>
    <w:tbl>
      <w:tblPr>
        <w:tblStyle w:val="TableGrid"/>
        <w:tblW w:type="auto" w:w="0"/>
        <w:jc w:val="center"/>
        <w:tblLook w:firstColumn="1" w:firstRow="1" w:lastColumn="0" w:lastRow="0" w:noHBand="0" w:noVBand="1" w:val="04A0"/>
      </w:tblPr>
      <w:tblGrid>
        <w:gridCol w:w="3968"/>
        <w:gridCol w:w="3968"/>
      </w:tblGrid>
      <w:tr>
        <w:tc>
          <w:tcPr>
            <w:tcW w:type="dxa" w:w="3968"/>
          </w:tcPr>
          <w:p>
            <w:pPr>
              <w:spacing w:line="240" w:lineRule="auto"/>
            </w:pPr>
            <w:r/>
            <w:r>
              <w:rPr>
                <w:rFonts w:ascii="Times New Roman" w:hAnsi="Times New Roman"/>
                <w:b/>
                <w:sz w:val="21"/>
              </w:rPr>
              <w:t>Keterangan</w:t>
            </w:r>
          </w:p>
        </w:tc>
        <w:tc>
          <w:tcPr>
            <w:tcW w:type="dxa" w:w="3968"/>
          </w:tcPr>
          <w:p>
            <w:pPr>
              <w:spacing w:line="240" w:lineRule="auto"/>
            </w:pPr>
            <w:r/>
            <w:r>
              <w:rPr>
                <w:rFonts w:ascii="Times New Roman" w:hAnsi="Times New Roman"/>
                <w:b/>
                <w:sz w:val="21"/>
              </w:rPr>
              <w:t>Tautan</w:t>
            </w:r>
          </w:p>
        </w:tc>
      </w:tr>
      <w:tr>
        <w:tc>
          <w:tcPr>
            <w:tcW w:type="dxa" w:w="3968"/>
          </w:tcPr>
          <w:p>
            <w:pPr>
              <w:spacing w:line="240" w:lineRule="auto"/>
            </w:pPr>
            <w:r/>
            <w:r>
              <w:rPr>
                <w:rFonts w:ascii="Times New Roman" w:hAnsi="Times New Roman"/>
                <w:sz w:val="21"/>
              </w:rPr>
              <w:t>Website live</w:t>
            </w:r>
          </w:p>
        </w:tc>
        <w:tc>
          <w:tcPr>
            <w:tcW w:type="dxa" w:w="3968"/>
          </w:tcPr>
          <w:p>
            <w:pPr>
              <w:spacing w:line="240" w:lineRule="auto"/>
            </w:pPr>
            <w:r/>
            <w:r>
              <w:rPr>
                <w:rFonts w:ascii="Times New Roman" w:hAnsi="Times New Roman"/>
                <w:sz w:val="21"/>
              </w:rPr>
              <w:t>[ISI TAUTAN HTTPS PUBLIK SETELAH DEPLOY]</w:t>
            </w:r>
          </w:p>
        </w:tc>
      </w:tr>
      <w:tr>
        <w:tc>
          <w:tcPr>
            <w:tcW w:type="dxa" w:w="3968"/>
          </w:tcPr>
          <w:p>
            <w:pPr>
              <w:spacing w:line="240" w:lineRule="auto"/>
            </w:pPr>
            <w:r/>
            <w:r>
              <w:rPr>
                <w:rFonts w:ascii="Times New Roman" w:hAnsi="Times New Roman"/>
                <w:sz w:val="21"/>
              </w:rPr>
              <w:t>Repositori kode</w:t>
            </w:r>
          </w:p>
        </w:tc>
        <w:tc>
          <w:tcPr>
            <w:tcW w:type="dxa" w:w="3968"/>
          </w:tcPr>
          <w:p>
            <w:pPr>
              <w:spacing w:line="240" w:lineRule="auto"/>
            </w:pPr>
            <w:r/>
            <w:r>
              <w:rPr>
                <w:rFonts w:ascii="Times New Roman" w:hAnsi="Times New Roman"/>
                <w:sz w:val="21"/>
              </w:rPr>
              <w:t>https://github.com/aarz24/Laris_HackathonGTNIC2026</w:t>
            </w:r>
          </w:p>
        </w:tc>
      </w:tr>
      <w:tr>
        <w:tc>
          <w:tcPr>
            <w:tcW w:type="dxa" w:w="3968"/>
          </w:tcPr>
          <w:p>
            <w:pPr>
              <w:spacing w:line="240" w:lineRule="auto"/>
            </w:pPr>
            <w:r/>
            <w:r>
              <w:rPr>
                <w:rFonts w:ascii="Times New Roman" w:hAnsi="Times New Roman"/>
                <w:sz w:val="21"/>
              </w:rPr>
              <w:t>Video demo</w:t>
            </w:r>
          </w:p>
        </w:tc>
        <w:tc>
          <w:tcPr>
            <w:tcW w:type="dxa" w:w="3968"/>
          </w:tcPr>
          <w:p>
            <w:pPr>
              <w:spacing w:line="240" w:lineRule="auto"/>
            </w:pPr>
            <w:r/>
            <w:r>
              <w:rPr>
                <w:rFonts w:ascii="Times New Roman" w:hAnsi="Times New Roman"/>
                <w:sz w:val="21"/>
              </w:rPr>
              <w:t>[ISI TAUTAN YOUTUBE/DRIVE AKSES PUBLIK]</w:t>
            </w:r>
          </w:p>
        </w:tc>
      </w:tr>
    </w:tbl>
    <w:p>
      <w:pPr>
        <w:spacing w:line="360" w:lineRule="auto" w:after="240"/>
      </w:pPr>
      <w:r>
        <w:rPr>
          <w:rFonts w:ascii="Times New Roman" w:hAnsi="Times New Roman"/>
          <w:b w:val="0"/>
          <w:i w:val="0"/>
        </w:rPr>
      </w:r>
    </w:p>
    <w:p>
      <w:pPr>
        <w:spacing w:line="360" w:lineRule="auto" w:after="120"/>
        <w:jc w:val="center"/>
      </w:pPr>
      <w:r>
        <w:rPr>
          <w:rFonts w:ascii="Times New Roman" w:hAnsi="Times New Roman"/>
          <w:b w:val="0"/>
          <w:i/>
        </w:rPr>
        <w:t>Dokumen kerja — lengkapi placeholder sebelum pengumpulan.</w:t>
      </w:r>
    </w:p>
    <w:p>
      <w:pPr>
        <w:sectPr>
          <w:pgSz w:w="11906" w:h="16838"/>
          <w:pgMar w:top="1701" w:right="1701" w:bottom="1701" w:left="2268" w:header="720" w:footer="720" w:gutter="0"/>
          <w:cols w:space="720"/>
          <w:docGrid w:linePitch="360"/>
        </w:sectPr>
      </w:pPr>
    </w:p>
    <w:p>
      <w:pPr>
        <w:pStyle w:val="Heading1"/>
      </w:pPr>
      <w:r>
        <w:t>1. Latar Belakang Masalah Operasional UMKM F&amp;B</w:t>
      </w:r>
    </w:p>
    <w:p>
      <w:pPr>
        <w:spacing w:line="360" w:lineRule="auto" w:after="120"/>
      </w:pPr>
      <w:r>
        <w:rPr>
          <w:rFonts w:ascii="Times New Roman" w:hAnsi="Times New Roman"/>
          <w:b w:val="0"/>
          <w:i w:val="0"/>
        </w:rPr>
        <w:t>Usaha food and beverage (F&amp;B) skala mikro dan kecil menjalankan beberapa pencatatan yang sebenarnya berasal dari satu peristiwa yang sama. Saat sebuah pesanan dibayar, pemilik perlu mengetahui uang yang diterima, bahan baku yang terpakai, dan sisa stok untuk layanan berikutnya. Pada praktik manual, ketiga informasi itu biasanya tersimpan di tempat berbeda: catatan pesanan di meja kasir, lembar stok di dapur, dan rekap pemasukan pada akhir hari.</w:t>
      </w:r>
    </w:p>
    <w:p>
      <w:pPr>
        <w:spacing w:line="360" w:lineRule="auto" w:after="120"/>
      </w:pPr>
      <w:r>
        <w:rPr>
          <w:rFonts w:ascii="Times New Roman" w:hAnsi="Times New Roman"/>
          <w:b w:val="0"/>
          <w:i w:val="0"/>
        </w:rPr>
        <w:t>Pemisahan tersebut menimbulkan tiga persoalan operasional. Pertama, satuan produk jual dan bahan baku tidak sama. Satu gelas kopi susu tidak langsung menjelaskan berapa mililiter susu dan gram biji kopi yang berkurang, sehingga pengurangan stok mudah terlewat bila tidak ada resep yang menghubungkannya. Kedua, pekerjaan rekap berulang: peristiwa yang sama dicatat lebih dari sekali, dan selisih antar catatan baru terlihat ketika stok fisik sudah tidak cocok. Ketiga, harga beli bahan berubah dari waktu ke waktu, sehingga omzet tidak cukup untuk menilai laba apabila harga pokok penjualan (HPP) saat transaksi tidak tersimpan.</w:t>
      </w:r>
    </w:p>
    <w:p>
      <w:pPr>
        <w:spacing w:line="360" w:lineRule="auto" w:after="120"/>
      </w:pPr>
      <w:r>
        <w:rPr>
          <w:rFonts w:ascii="Times New Roman" w:hAnsi="Times New Roman"/>
          <w:b w:val="0"/>
          <w:i w:val="0"/>
        </w:rPr>
        <w:t>Laris dirancang untuk skenario kerja tersebut. Deskripsi masalah di atas merupakan kerangka desain produk berdasarkan karakteristik operasional usaha F&amp;B, bukan kesimpulan dari studi lapangan yang telah selesai dilakukan. Data statistik pasar yang resmi perlu dilampirkan dari sumber seperti Kementerian Koperasi dan UKM atau Badan Pusat Statistik sebelum angka pasar dicantumkan dalam dokumen ini.</w:t>
      </w:r>
    </w:p>
    <w:p>
      <w:pPr>
        <w:spacing w:line="360" w:lineRule="auto" w:after="120"/>
        <w:ind w:left="283"/>
      </w:pPr>
      <w:r>
        <w:rPr>
          <w:rFonts w:ascii="Times New Roman" w:hAnsi="Times New Roman"/>
          <w:b w:val="0"/>
          <w:i/>
          <w:sz w:val="22"/>
        </w:rPr>
        <w:t>[LENGKAPI: data statistik UMKM/F&amp;B beserta sumber resmi dan tahun publikasi, atau hasil wawancara singkat dengan pemilik usaha bila tersedia]</w:t>
      </w:r>
    </w:p>
    <w:p>
      <w:pPr>
        <w:pStyle w:val="Heading1"/>
      </w:pPr>
      <w:r>
        <w:t>2. Tujuan, Manfaat, dan Solusi Teknologi</w:t>
      </w:r>
    </w:p>
    <w:p>
      <w:pPr>
        <w:pStyle w:val="Heading2"/>
      </w:pPr>
      <w:r>
        <w:t>2.1 Tujuan</w:t>
      </w:r>
    </w:p>
    <w:p>
      <w:pPr>
        <w:pStyle w:val="ListNumber"/>
        <w:spacing w:line="360" w:lineRule="auto" w:after="80"/>
      </w:pPr>
      <w:r>
        <w:rPr>
          <w:rFonts w:ascii="Times New Roman" w:hAnsi="Times New Roman"/>
          <w:b w:val="0"/>
          <w:i w:val="0"/>
        </w:rPr>
        <w:t>Menyatukan pencatatan penjualan, konsumsi bahan baku, pembelian, pelanggan, dan ringkasan keuangan dalam satu alur kerja.</w:t>
      </w:r>
    </w:p>
    <w:p>
      <w:pPr>
        <w:pStyle w:val="ListNumber"/>
        <w:spacing w:line="360" w:lineRule="auto" w:after="80"/>
      </w:pPr>
      <w:r>
        <w:rPr>
          <w:rFonts w:ascii="Times New Roman" w:hAnsi="Times New Roman"/>
          <w:b w:val="0"/>
          <w:i w:val="0"/>
        </w:rPr>
        <w:t>Menjaga ketertelusuran perubahan stok dan biaya melalui ledger bertanda serta validasi sebelum data tersimpan.</w:t>
      </w:r>
    </w:p>
    <w:p>
      <w:pPr>
        <w:pStyle w:val="ListNumber"/>
        <w:spacing w:line="360" w:lineRule="auto" w:after="80"/>
      </w:pPr>
      <w:r>
        <w:rPr>
          <w:rFonts w:ascii="Times New Roman" w:hAnsi="Times New Roman"/>
          <w:b w:val="0"/>
          <w:i w:val="0"/>
        </w:rPr>
        <w:t>Menyediakan antarmuka berbahasa Indonesia dengan bantuan pencatatan opsional, tanpa menjadikan AI sebagai prasyarat operasional.</w:t>
      </w:r>
    </w:p>
    <w:p>
      <w:pPr>
        <w:pStyle w:val="Heading2"/>
      </w:pPr>
      <w:r>
        <w:t>2.2 Solusi teknologi yang ditawarkan</w:t>
      </w:r>
    </w:p>
    <w:p>
      <w:pPr>
        <w:spacing w:line="360" w:lineRule="auto" w:after="120"/>
      </w:pPr>
      <w:r>
        <w:rPr>
          <w:rFonts w:ascii="Times New Roman" w:hAnsi="Times New Roman"/>
          <w:b w:val="0"/>
          <w:i w:val="0"/>
        </w:rPr>
        <w:t>Satu checkout yang dikonfirmasi menjadi sumber beberapa catatan sekaligus: pesanan, metode pembayaran, pengurangan bahan sesuai resep, pembaruan pelanggan bila nomor telepon diisi, serta catatan audit. Pembelian bahan menambah stok dan memperbarui biaya rata-rata bergerak (moving average), sehingga HPP menu mengikuti harga beli terbaru. Laporan penjualan dibaca dari arsip harga dan biaya saat transaksi, bukan dari katalog yang bisa berubah.</w:t>
      </w:r>
    </w:p>
    <w:p>
      <w:pPr>
        <w:pStyle w:val="Heading2"/>
      </w:pPr>
      <w:r>
        <w:t>2.3 Manfaat yang diharapkan</w:t>
      </w:r>
    </w:p>
    <w:p>
      <w:pPr>
        <w:pStyle w:val="ListBullet"/>
        <w:spacing w:line="360" w:lineRule="auto" w:after="80"/>
      </w:pPr>
      <w:r>
        <w:rPr>
          <w:rFonts w:ascii="Times New Roman" w:hAnsi="Times New Roman"/>
          <w:b w:val="0"/>
          <w:i w:val="0"/>
        </w:rPr>
        <w:t>Bagi pemilik: ringkasan penjualan, HPP historis, laba kotor, pengeluaran, dan ekspor CSV dari data yang sama dengan operasional harian.</w:t>
      </w:r>
    </w:p>
    <w:p>
      <w:pPr>
        <w:pStyle w:val="ListBullet"/>
        <w:spacing w:line="360" w:lineRule="auto" w:after="80"/>
      </w:pPr>
      <w:r>
        <w:rPr>
          <w:rFonts w:ascii="Times New Roman" w:hAnsi="Times New Roman"/>
          <w:b w:val="0"/>
          <w:i w:val="0"/>
        </w:rPr>
        <w:t>Bagi kasir: pencatatan pesanan yang terarah, validasi uang tunai, dan struk yang menautkan transaksi ke stok serta pelanggan terkait.</w:t>
      </w:r>
    </w:p>
    <w:p>
      <w:pPr>
        <w:pStyle w:val="ListBullet"/>
        <w:spacing w:line="360" w:lineRule="auto" w:after="80"/>
      </w:pPr>
      <w:r>
        <w:rPr>
          <w:rFonts w:ascii="Times New Roman" w:hAnsi="Times New Roman"/>
          <w:b w:val="0"/>
          <w:i w:val="0"/>
        </w:rPr>
        <w:t>Bagi tim dapur dan manajer: visibilitas sisa stok dan batas pesan ulang untuk menentukan prioritas belanja.</w:t>
      </w:r>
    </w:p>
    <w:p>
      <w:pPr>
        <w:spacing w:line="360" w:lineRule="auto" w:after="120"/>
      </w:pPr>
      <w:r>
        <w:rPr>
          <w:rFonts w:ascii="Times New Roman" w:hAnsi="Times New Roman"/>
          <w:b w:val="0"/>
          <w:i w:val="0"/>
        </w:rPr>
        <w:t>Besarnya penghematan waktu dan dampak finansial masih berupa hipotesis yang perlu diuji melalui pilot bersama usaha nyata; dokumen ini tidak mengklaim angka efisiensi yang belum diukur.</w:t>
      </w:r>
    </w:p>
    <w:p>
      <w:pPr>
        <w:pStyle w:val="Heading1"/>
      </w:pPr>
      <w:r>
        <w:t>3. Target Pengguna dan Pasar Aplikasi</w:t>
      </w:r>
    </w:p>
    <w:p>
      <w:pPr>
        <w:spacing w:line="360" w:lineRule="auto" w:after="120"/>
      </w:pPr>
      <w:r>
        <w:rPr>
          <w:rFonts w:ascii="Times New Roman" w:hAnsi="Times New Roman"/>
          <w:b w:val="0"/>
          <w:i w:val="0"/>
        </w:rPr>
        <w:t>Sasaran awal adalah kedai kopi, bakery, warung makan, dan restoran independen dengan jumlah menu terkelola dan satu outlet utama. Aplikasi mengenali jenis usaha coffee, restaurant, bakery, bar, dan other pada proses onboarding.</w:t>
      </w:r>
    </w:p>
    <w:p>
      <w:pPr>
        <w:spacing w:line="360" w:lineRule="auto" w:after="120"/>
      </w:pPr>
      <w:r>
        <w:rPr>
          <w:rFonts w:ascii="Times New Roman" w:hAnsi="Times New Roman"/>
          <w:b w:val="0"/>
          <w:i w:val="0"/>
        </w:rPr>
        <w:t>Peran pengguna di dalam satu workspace dibedakan menjadi empat. Owner mengatur profil usaha, tarif pajak, target harian, dan keanggotaan tim. Manager mengelola menu, resep, bahan, serta harga. Kasir mencatat penjualan, pembelian, pengeluaran, dan data pelanggan sesuai izin. Peran dapur memperoleh akses lihat saja pada antarmuka saat ini. Pembedaan peran ini diberlakukan di lapisan basis data, bukan hanya dengan menyembunyikan tombol.</w:t>
      </w:r>
    </w:p>
    <w:p>
      <w:pPr>
        <w:spacing w:line="360" w:lineRule="auto" w:after="120"/>
      </w:pPr>
      <w:r>
        <w:rPr>
          <w:rFonts w:ascii="Times New Roman" w:hAnsi="Times New Roman"/>
          <w:b w:val="0"/>
          <w:i w:val="0"/>
        </w:rPr>
        <w:t>Pasar yang lebih luas, seperti jaringan multi-outlet dan integrasi pembayaran pihak ketiga, berada di luar cakupan versi ini dan dicantumkan pada rencana pengembangan lanjutan.</w:t>
      </w:r>
    </w:p>
    <w:p>
      <w:pPr>
        <w:pStyle w:val="Heading1"/>
      </w:pPr>
      <w:r>
        <w:t>4. Arsitektur Sistem</w:t>
      </w:r>
    </w:p>
    <w:p>
      <w:pPr>
        <w:spacing w:after="40"/>
        <w:jc w:val="center"/>
      </w:pPr>
      <w:r>
        <w:drawing>
          <wp:inline xmlns:a="http://schemas.openxmlformats.org/drawingml/2006/main" xmlns:pic="http://schemas.openxmlformats.org/drawingml/2006/picture">
            <wp:extent cx="5040000" cy="2632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040000" cy="2632000"/>
                    </a:xfrm>
                    <a:prstGeom prst="rect"/>
                  </pic:spPr>
                </pic:pic>
              </a:graphicData>
            </a:graphic>
          </wp:inline>
        </w:drawing>
      </w:r>
    </w:p>
    <w:p>
      <w:pPr>
        <w:pStyle w:val="Caption"/>
        <w:spacing w:line="240" w:lineRule="auto" w:after="200"/>
        <w:jc w:val="center"/>
      </w:pPr>
      <w:r>
        <w:t>Gambar 1. Arsitektur Laris. Jalur demo lokal dan jalur cloud terautentikasi dipisahkan; bantuan AI tidak menulis ledger transaksi secara langsung.</w:t>
      </w:r>
    </w:p>
    <w:p>
      <w:pPr>
        <w:spacing w:line="360" w:lineRule="auto" w:after="120"/>
      </w:pPr>
      <w:r>
        <w:rPr>
          <w:rFonts w:ascii="Times New Roman" w:hAnsi="Times New Roman"/>
          <w:b w:val="0"/>
          <w:i w:val="0"/>
        </w:rPr>
        <w:t>Laris adalah aplikasi modular di dalam satu deployment Next.js, bukan sistem microservice. Halaman cloud memeriksa sesi autentikasi lalu memuat snapshot workspace di sisi server. Perubahan data dijalankan melalui Server Actions yang memvalidasi masukan dengan skema Zod, kemudian memanggil fungsi PostgreSQL untuk operasi yang menyentuh beberapa tabel sekaligus.</w:t>
      </w:r>
    </w:p>
    <w:p>
      <w:pPr>
        <w:spacing w:line="360" w:lineRule="auto" w:after="120"/>
      </w:pPr>
      <w:r>
        <w:rPr>
          <w:rFonts w:ascii="Times New Roman" w:hAnsi="Times New Roman"/>
          <w:b w:val="0"/>
          <w:i w:val="0"/>
        </w:rPr>
        <w:t>Supabase menyediakan Auth, PostgreSQL dengan Row Level Security, fungsi RPC, serta storage gambar menu. Endpoint AI berada di sisi server pada /api/ai/parse-order, /api/ai/scan-receipt, dan /api/ai/ask sehingga kunci API tidak pernah dikirim ke browser. Mode /demo berjalan dengan data fiktif di penyimpanan browser dan parser deterministik tanpa memanggil Gemini; kegagalan layanan cloud tidak pernah diganti secara diam-diam dengan data demo.</w:t>
      </w:r>
    </w:p>
    <w:p>
      <w:pPr>
        <w:pStyle w:val="Heading1"/>
      </w:pPr>
      <w:r>
        <w:t>5. Skema Basis Data</w:t>
      </w:r>
    </w:p>
    <w:p>
      <w:pPr>
        <w:spacing w:line="360" w:lineRule="auto" w:after="120"/>
      </w:pPr>
      <w:r>
        <w:rPr>
          <w:rFonts w:ascii="Times New Roman" w:hAnsi="Times New Roman"/>
          <w:b w:val="0"/>
          <w:i w:val="0"/>
        </w:rPr>
        <w:t>Diagram berikut menampilkan kolom terpilih, bukan seluruh kolom tabel. PK menandakan primary key dan FK menandakan foreign key. Tabel tenant membawa kolom business_id; relasi business yang berulang tidak digambar ulang agar diagram tetap terbaca. Notasi 1:N berarti satu baris induk dapat memiliki beberapa baris anak.</w:t>
      </w:r>
    </w:p>
    <w:p>
      <w:pPr>
        <w:spacing w:after="40"/>
        <w:jc w:val="center"/>
      </w:pPr>
      <w:r>
        <w:drawing>
          <wp:inline xmlns:a="http://schemas.openxmlformats.org/drawingml/2006/main" xmlns:pic="http://schemas.openxmlformats.org/drawingml/2006/picture">
            <wp:extent cx="5040000" cy="3136000"/>
            <wp:docPr id="2" name="Picture 2"/>
            <wp:cNvGraphicFramePr>
              <a:graphicFrameLocks noChangeAspect="1"/>
            </wp:cNvGraphicFramePr>
            <a:graphic>
              <a:graphicData uri="http://schemas.openxmlformats.org/drawingml/2006/picture">
                <pic:pic>
                  <pic:nvPicPr>
                    <pic:cNvPr id="0" name="erd-commerce.png"/>
                    <pic:cNvPicPr/>
                  </pic:nvPicPr>
                  <pic:blipFill>
                    <a:blip r:embed="rId11"/>
                    <a:stretch>
                      <a:fillRect/>
                    </a:stretch>
                  </pic:blipFill>
                  <pic:spPr>
                    <a:xfrm>
                      <a:off x="0" y="0"/>
                      <a:ext cx="5040000" cy="3136000"/>
                    </a:xfrm>
                    <a:prstGeom prst="rect"/>
                  </pic:spPr>
                </pic:pic>
              </a:graphicData>
            </a:graphic>
          </wp:inline>
        </w:drawing>
      </w:r>
    </w:p>
    <w:p>
      <w:pPr>
        <w:pStyle w:val="Caption"/>
        <w:spacing w:line="240" w:lineRule="auto" w:after="200"/>
        <w:jc w:val="center"/>
      </w:pPr>
      <w:r>
        <w:t>Gambar 2. Relasi inti penjualan, menu, resep, dan bahan baku.</w:t>
      </w:r>
    </w:p>
    <w:p>
      <w:pPr>
        <w:spacing w:line="360" w:lineRule="auto" w:after="120"/>
      </w:pPr>
      <w:r>
        <w:rPr>
          <w:rFonts w:ascii="Times New Roman" w:hAnsi="Times New Roman"/>
          <w:b w:val="0"/>
          <w:i w:val="0"/>
        </w:rPr>
        <w:t>Tabel order_item menyimpan arsip product_code, name, unit_price, unit_cost, quantity, dan note pada saat penjualan terjadi, sehingga struk dan laporan lama tetap benar meskipun menu diubah atau dihapus. Tabel recipe_line menghubungkan varian produk ke bahan baku dalam satuan dasar. Nilai uang memakai BIGINT rupiah, sedangkan kuantitas dan biaya per satuan memakai tipe NUMERIC agar pembulatan tidak menghilangkan pecahan biaya bahan.</w:t>
      </w:r>
    </w:p>
    <w:p>
      <w:pPr>
        <w:spacing w:after="40"/>
        <w:jc w:val="center"/>
      </w:pPr>
      <w:r>
        <w:drawing>
          <wp:inline xmlns:a="http://schemas.openxmlformats.org/drawingml/2006/main" xmlns:pic="http://schemas.openxmlformats.org/drawingml/2006/picture">
            <wp:extent cx="5040000" cy="2856000"/>
            <wp:docPr id="3" name="Picture 3"/>
            <wp:cNvGraphicFramePr>
              <a:graphicFrameLocks noChangeAspect="1"/>
            </wp:cNvGraphicFramePr>
            <a:graphic>
              <a:graphicData uri="http://schemas.openxmlformats.org/drawingml/2006/picture">
                <pic:pic>
                  <pic:nvPicPr>
                    <pic:cNvPr id="0" name="erd-operations.png"/>
                    <pic:cNvPicPr/>
                  </pic:nvPicPr>
                  <pic:blipFill>
                    <a:blip r:embed="rId12"/>
                    <a:stretch>
                      <a:fillRect/>
                    </a:stretch>
                  </pic:blipFill>
                  <pic:spPr>
                    <a:xfrm>
                      <a:off x="0" y="0"/>
                      <a:ext cx="5040000" cy="2856000"/>
                    </a:xfrm>
                    <a:prstGeom prst="rect"/>
                  </pic:spPr>
                </pic:pic>
              </a:graphicData>
            </a:graphic>
          </wp:inline>
        </w:drawing>
      </w:r>
    </w:p>
    <w:p>
      <w:pPr>
        <w:pStyle w:val="Caption"/>
        <w:spacing w:line="240" w:lineRule="auto" w:after="200"/>
        <w:jc w:val="center"/>
      </w:pPr>
      <w:r>
        <w:t>Gambar 3. Relasi identitas, pembelian, dan ledger stok.</w:t>
      </w:r>
    </w:p>
    <w:p>
      <w:pPr>
        <w:spacing w:line="360" w:lineRule="auto" w:after="120"/>
      </w:pPr>
      <w:r>
        <w:rPr>
          <w:rFonts w:ascii="Times New Roman" w:hAnsi="Times New Roman"/>
          <w:b w:val="0"/>
          <w:i w:val="0"/>
        </w:rPr>
        <w:t>Tabel membership menautkan auth.users Supabase ke sebuah business beserta perannya. Outlet menjadi cakupan penjualan, pembelian, dan pergerakan stok. Stok berjalan sebagai ledger: stock_movement menyimpan qty_delta bertanda untuk tipe opening, sale, purchase, adjustment, waste, dan opname, sehingga stok saat ini adalah penjumlahan pergerakan. Kolom ref_id merupakan rujukan logis ke dokumen sumber, bukan foreign key yang dideklarasikan.</w:t>
      </w:r>
    </w:p>
    <w:p>
      <w:pPr>
        <w:spacing w:line="360" w:lineRule="auto" w:after="120"/>
      </w:pPr>
      <w:r>
        <w:rPr>
          <w:rFonts w:ascii="Times New Roman" w:hAnsi="Times New Roman"/>
          <w:b w:val="0"/>
          <w:i w:val="0"/>
        </w:rPr>
        <w:t>Tabel pendukung yang tidak digambar adalah expense untuk biaya operasional, audit_log untuk jejak tindakan administratif, ai_event untuk telemetri AI, dan holiday_calendar sebagai data referensi bersama. Keberadaan tabel kalender tidak berarti modul peramalan permintaan sudah diimplementasikan.</w:t>
      </w:r>
    </w:p>
    <w:p>
      <w:pPr>
        <w:pStyle w:val="Heading1"/>
      </w:pPr>
      <w:r>
        <w:t>6. Teknologi yang Digunakan</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spacing w:line="240" w:lineRule="auto"/>
            </w:pPr>
            <w:r/>
            <w:r>
              <w:rPr>
                <w:rFonts w:ascii="Times New Roman" w:hAnsi="Times New Roman"/>
                <w:b/>
                <w:sz w:val="21"/>
              </w:rPr>
              <w:t>Lapisan</w:t>
            </w:r>
          </w:p>
        </w:tc>
        <w:tc>
          <w:tcPr>
            <w:tcW w:type="dxa" w:w="2646"/>
          </w:tcPr>
          <w:p>
            <w:pPr>
              <w:spacing w:line="240" w:lineRule="auto"/>
            </w:pPr>
            <w:r/>
            <w:r>
              <w:rPr>
                <w:rFonts w:ascii="Times New Roman" w:hAnsi="Times New Roman"/>
                <w:b/>
                <w:sz w:val="21"/>
              </w:rPr>
              <w:t>Teknologi dan versi</w:t>
            </w:r>
          </w:p>
        </w:tc>
        <w:tc>
          <w:tcPr>
            <w:tcW w:type="dxa" w:w="2646"/>
          </w:tcPr>
          <w:p>
            <w:pPr>
              <w:spacing w:line="240" w:lineRule="auto"/>
            </w:pPr>
            <w:r/>
            <w:r>
              <w:rPr>
                <w:rFonts w:ascii="Times New Roman" w:hAnsi="Times New Roman"/>
                <w:b/>
                <w:sz w:val="21"/>
              </w:rPr>
              <w:t>Peran dalam sistem</w:t>
            </w:r>
          </w:p>
        </w:tc>
      </w:tr>
      <w:tr>
        <w:tc>
          <w:tcPr>
            <w:tcW w:type="dxa" w:w="2646"/>
          </w:tcPr>
          <w:p>
            <w:pPr>
              <w:spacing w:line="240" w:lineRule="auto"/>
            </w:pPr>
            <w:r/>
            <w:r>
              <w:rPr>
                <w:rFonts w:ascii="Times New Roman" w:hAnsi="Times New Roman"/>
                <w:sz w:val="21"/>
              </w:rPr>
              <w:t>Framework</w:t>
            </w:r>
          </w:p>
        </w:tc>
        <w:tc>
          <w:tcPr>
            <w:tcW w:type="dxa" w:w="2646"/>
          </w:tcPr>
          <w:p>
            <w:pPr>
              <w:spacing w:line="240" w:lineRule="auto"/>
            </w:pPr>
            <w:r/>
            <w:r>
              <w:rPr>
                <w:rFonts w:ascii="Times New Roman" w:hAnsi="Times New Roman"/>
                <w:sz w:val="21"/>
              </w:rPr>
              <w:t>Next.js 15.5.28 (App Router, Turbopack)</w:t>
            </w:r>
          </w:p>
        </w:tc>
        <w:tc>
          <w:tcPr>
            <w:tcW w:type="dxa" w:w="2646"/>
          </w:tcPr>
          <w:p>
            <w:pPr>
              <w:spacing w:line="240" w:lineRule="auto"/>
            </w:pPr>
            <w:r/>
            <w:r>
              <w:rPr>
                <w:rFonts w:ascii="Times New Roman" w:hAnsi="Times New Roman"/>
                <w:sz w:val="21"/>
              </w:rPr>
              <w:t>Routing, server rendering, Server Actions, dan route API AI</w:t>
            </w:r>
          </w:p>
        </w:tc>
      </w:tr>
      <w:tr>
        <w:tc>
          <w:tcPr>
            <w:tcW w:type="dxa" w:w="2646"/>
          </w:tcPr>
          <w:p>
            <w:pPr>
              <w:spacing w:line="240" w:lineRule="auto"/>
            </w:pPr>
            <w:r/>
            <w:r>
              <w:rPr>
                <w:rFonts w:ascii="Times New Roman" w:hAnsi="Times New Roman"/>
                <w:sz w:val="21"/>
              </w:rPr>
              <w:t>Antarmuka</w:t>
            </w:r>
          </w:p>
        </w:tc>
        <w:tc>
          <w:tcPr>
            <w:tcW w:type="dxa" w:w="2646"/>
          </w:tcPr>
          <w:p>
            <w:pPr>
              <w:spacing w:line="240" w:lineRule="auto"/>
            </w:pPr>
            <w:r/>
            <w:r>
              <w:rPr>
                <w:rFonts w:ascii="Times New Roman" w:hAnsi="Times New Roman"/>
                <w:sz w:val="21"/>
              </w:rPr>
              <w:t>React 19.1.0, TypeScript 5, lucide-react</w:t>
            </w:r>
          </w:p>
        </w:tc>
        <w:tc>
          <w:tcPr>
            <w:tcW w:type="dxa" w:w="2646"/>
          </w:tcPr>
          <w:p>
            <w:pPr>
              <w:spacing w:line="240" w:lineRule="auto"/>
            </w:pPr>
            <w:r/>
            <w:r>
              <w:rPr>
                <w:rFonts w:ascii="Times New Roman" w:hAnsi="Times New Roman"/>
                <w:sz w:val="21"/>
              </w:rPr>
              <w:t>Komponen workspace interaktif dan ikon</w:t>
            </w:r>
          </w:p>
        </w:tc>
      </w:tr>
      <w:tr>
        <w:tc>
          <w:tcPr>
            <w:tcW w:type="dxa" w:w="2646"/>
          </w:tcPr>
          <w:p>
            <w:pPr>
              <w:spacing w:line="240" w:lineRule="auto"/>
            </w:pPr>
            <w:r/>
            <w:r>
              <w:rPr>
                <w:rFonts w:ascii="Times New Roman" w:hAnsi="Times New Roman"/>
                <w:sz w:val="21"/>
              </w:rPr>
              <w:t>Gaya</w:t>
            </w:r>
          </w:p>
        </w:tc>
        <w:tc>
          <w:tcPr>
            <w:tcW w:type="dxa" w:w="2646"/>
          </w:tcPr>
          <w:p>
            <w:pPr>
              <w:spacing w:line="240" w:lineRule="auto"/>
            </w:pPr>
            <w:r/>
            <w:r>
              <w:rPr>
                <w:rFonts w:ascii="Times New Roman" w:hAnsi="Times New Roman"/>
                <w:sz w:val="21"/>
              </w:rPr>
              <w:t>Tailwind CSS 4 dengan token CSS bersama</w:t>
            </w:r>
          </w:p>
        </w:tc>
        <w:tc>
          <w:tcPr>
            <w:tcW w:type="dxa" w:w="2646"/>
          </w:tcPr>
          <w:p>
            <w:pPr>
              <w:spacing w:line="240" w:lineRule="auto"/>
            </w:pPr>
            <w:r/>
            <w:r>
              <w:rPr>
                <w:rFonts w:ascii="Times New Roman" w:hAnsi="Times New Roman"/>
                <w:sz w:val="21"/>
              </w:rPr>
              <w:t>Sistem warna, radius, dan tata letak responsif</w:t>
            </w:r>
          </w:p>
        </w:tc>
      </w:tr>
      <w:tr>
        <w:tc>
          <w:tcPr>
            <w:tcW w:type="dxa" w:w="2646"/>
          </w:tcPr>
          <w:p>
            <w:pPr>
              <w:spacing w:line="240" w:lineRule="auto"/>
            </w:pPr>
            <w:r/>
            <w:r>
              <w:rPr>
                <w:rFonts w:ascii="Times New Roman" w:hAnsi="Times New Roman"/>
                <w:sz w:val="21"/>
              </w:rPr>
              <w:t>Basis data</w:t>
            </w:r>
          </w:p>
        </w:tc>
        <w:tc>
          <w:tcPr>
            <w:tcW w:type="dxa" w:w="2646"/>
          </w:tcPr>
          <w:p>
            <w:pPr>
              <w:spacing w:line="240" w:lineRule="auto"/>
            </w:pPr>
            <w:r/>
            <w:r>
              <w:rPr>
                <w:rFonts w:ascii="Times New Roman" w:hAnsi="Times New Roman"/>
                <w:sz w:val="21"/>
              </w:rPr>
              <w:t>Supabase PostgreSQL, RLS, fungsi SECURITY DEFINER</w:t>
            </w:r>
          </w:p>
        </w:tc>
        <w:tc>
          <w:tcPr>
            <w:tcW w:type="dxa" w:w="2646"/>
          </w:tcPr>
          <w:p>
            <w:pPr>
              <w:spacing w:line="240" w:lineRule="auto"/>
            </w:pPr>
            <w:r/>
            <w:r>
              <w:rPr>
                <w:rFonts w:ascii="Times New Roman" w:hAnsi="Times New Roman"/>
                <w:sz w:val="21"/>
              </w:rPr>
              <w:t>Penyimpanan tenant, isolasi data, dan transaksi atomik</w:t>
            </w:r>
          </w:p>
        </w:tc>
      </w:tr>
      <w:tr>
        <w:tc>
          <w:tcPr>
            <w:tcW w:type="dxa" w:w="2646"/>
          </w:tcPr>
          <w:p>
            <w:pPr>
              <w:spacing w:line="240" w:lineRule="auto"/>
            </w:pPr>
            <w:r/>
            <w:r>
              <w:rPr>
                <w:rFonts w:ascii="Times New Roman" w:hAnsi="Times New Roman"/>
                <w:sz w:val="21"/>
              </w:rPr>
              <w:t>Autentikasi</w:t>
            </w:r>
          </w:p>
        </w:tc>
        <w:tc>
          <w:tcPr>
            <w:tcW w:type="dxa" w:w="2646"/>
          </w:tcPr>
          <w:p>
            <w:pPr>
              <w:spacing w:line="240" w:lineRule="auto"/>
            </w:pPr>
            <w:r/>
            <w:r>
              <w:rPr>
                <w:rFonts w:ascii="Times New Roman" w:hAnsi="Times New Roman"/>
                <w:sz w:val="21"/>
              </w:rPr>
              <w:t>Supabase Auth (@supabase/ssr, supabase-js 2)</w:t>
            </w:r>
          </w:p>
        </w:tc>
        <w:tc>
          <w:tcPr>
            <w:tcW w:type="dxa" w:w="2646"/>
          </w:tcPr>
          <w:p>
            <w:pPr>
              <w:spacing w:line="240" w:lineRule="auto"/>
            </w:pPr>
            <w:r/>
            <w:r>
              <w:rPr>
                <w:rFonts w:ascii="Times New Roman" w:hAnsi="Times New Roman"/>
                <w:sz w:val="21"/>
              </w:rPr>
              <w:t>Registrasi, konfirmasi email, sesi, dan reset password</w:t>
            </w:r>
          </w:p>
        </w:tc>
      </w:tr>
      <w:tr>
        <w:tc>
          <w:tcPr>
            <w:tcW w:type="dxa" w:w="2646"/>
          </w:tcPr>
          <w:p>
            <w:pPr>
              <w:spacing w:line="240" w:lineRule="auto"/>
            </w:pPr>
            <w:r/>
            <w:r>
              <w:rPr>
                <w:rFonts w:ascii="Times New Roman" w:hAnsi="Times New Roman"/>
                <w:sz w:val="21"/>
              </w:rPr>
              <w:t>Validasi</w:t>
            </w:r>
          </w:p>
        </w:tc>
        <w:tc>
          <w:tcPr>
            <w:tcW w:type="dxa" w:w="2646"/>
          </w:tcPr>
          <w:p>
            <w:pPr>
              <w:spacing w:line="240" w:lineRule="auto"/>
            </w:pPr>
            <w:r/>
            <w:r>
              <w:rPr>
                <w:rFonts w:ascii="Times New Roman" w:hAnsi="Times New Roman"/>
                <w:sz w:val="21"/>
              </w:rPr>
              <w:t>Zod 4</w:t>
            </w:r>
          </w:p>
        </w:tc>
        <w:tc>
          <w:tcPr>
            <w:tcW w:type="dxa" w:w="2646"/>
          </w:tcPr>
          <w:p>
            <w:pPr>
              <w:spacing w:line="240" w:lineRule="auto"/>
            </w:pPr>
            <w:r/>
            <w:r>
              <w:rPr>
                <w:rFonts w:ascii="Times New Roman" w:hAnsi="Times New Roman"/>
                <w:sz w:val="21"/>
              </w:rPr>
              <w:t>Skema masukan Server Actions dan route AI</w:t>
            </w:r>
          </w:p>
        </w:tc>
      </w:tr>
      <w:tr>
        <w:tc>
          <w:tcPr>
            <w:tcW w:type="dxa" w:w="2646"/>
          </w:tcPr>
          <w:p>
            <w:pPr>
              <w:spacing w:line="240" w:lineRule="auto"/>
            </w:pPr>
            <w:r/>
            <w:r>
              <w:rPr>
                <w:rFonts w:ascii="Times New Roman" w:hAnsi="Times New Roman"/>
                <w:sz w:val="21"/>
              </w:rPr>
              <w:t>AI opsional</w:t>
            </w:r>
          </w:p>
        </w:tc>
        <w:tc>
          <w:tcPr>
            <w:tcW w:type="dxa" w:w="2646"/>
          </w:tcPr>
          <w:p>
            <w:pPr>
              <w:spacing w:line="240" w:lineRule="auto"/>
            </w:pPr>
            <w:r/>
            <w:r>
              <w:rPr>
                <w:rFonts w:ascii="Times New Roman" w:hAnsi="Times New Roman"/>
                <w:sz w:val="21"/>
              </w:rPr>
              <w:t>Vercel AI SDK 7, @ai-sdk/google 4 (Gemini)</w:t>
            </w:r>
          </w:p>
        </w:tc>
        <w:tc>
          <w:tcPr>
            <w:tcW w:type="dxa" w:w="2646"/>
          </w:tcPr>
          <w:p>
            <w:pPr>
              <w:spacing w:line="240" w:lineRule="auto"/>
            </w:pPr>
            <w:r/>
            <w:r>
              <w:rPr>
                <w:rFonts w:ascii="Times New Roman" w:hAnsi="Times New Roman"/>
                <w:sz w:val="21"/>
              </w:rPr>
              <w:t>Parsing pesanan, OCR nota, dan Tanya Laris di mode cloud</w:t>
            </w:r>
          </w:p>
        </w:tc>
      </w:tr>
      <w:tr>
        <w:tc>
          <w:tcPr>
            <w:tcW w:type="dxa" w:w="2646"/>
          </w:tcPr>
          <w:p>
            <w:pPr>
              <w:spacing w:line="240" w:lineRule="auto"/>
            </w:pPr>
            <w:r/>
            <w:r>
              <w:rPr>
                <w:rFonts w:ascii="Times New Roman" w:hAnsi="Times New Roman"/>
                <w:sz w:val="21"/>
              </w:rPr>
              <w:t>Pengujian</w:t>
            </w:r>
          </w:p>
        </w:tc>
        <w:tc>
          <w:tcPr>
            <w:tcW w:type="dxa" w:w="2646"/>
          </w:tcPr>
          <w:p>
            <w:pPr>
              <w:spacing w:line="240" w:lineRule="auto"/>
            </w:pPr>
            <w:r/>
            <w:r>
              <w:rPr>
                <w:rFonts w:ascii="Times New Roman" w:hAnsi="Times New Roman"/>
                <w:sz w:val="21"/>
              </w:rPr>
              <w:t>node --test, skrip evaluasi parser, ESLint, tsc</w:t>
            </w:r>
          </w:p>
        </w:tc>
        <w:tc>
          <w:tcPr>
            <w:tcW w:type="dxa" w:w="2646"/>
          </w:tcPr>
          <w:p>
            <w:pPr>
              <w:spacing w:line="240" w:lineRule="auto"/>
            </w:pPr>
            <w:r/>
            <w:r>
              <w:rPr>
                <w:rFonts w:ascii="Times New Roman" w:hAnsi="Times New Roman"/>
                <w:sz w:val="21"/>
              </w:rPr>
              <w:t>Pemeriksaan logika, parser, tipe, dan gaya kode</w:t>
            </w:r>
          </w:p>
        </w:tc>
      </w:tr>
    </w:tbl>
    <w:p>
      <w:pPr>
        <w:pStyle w:val="Caption"/>
        <w:spacing w:line="240" w:lineRule="auto" w:after="200"/>
        <w:jc w:val="center"/>
      </w:pPr>
      <w:r>
        <w:t>Tabel 1. Ringkasan teknologi dan perannya.</w:t>
      </w:r>
    </w:p>
    <w:p>
      <w:pPr>
        <w:spacing w:line="360" w:lineRule="auto" w:after="120"/>
      </w:pPr>
      <w:r>
        <w:rPr>
          <w:rFonts w:ascii="Times New Roman" w:hAnsi="Times New Roman"/>
          <w:b w:val="0"/>
          <w:i w:val="0"/>
        </w:rPr>
        <w:t>Seluruh dependensi di atas merupakan proyek open-source yang digunakan sesuai lisensinya. Daftar lisensi ringkas dicantumkan pada bagian 13.</w:t>
      </w:r>
    </w:p>
    <w:p>
      <w:pPr>
        <w:pStyle w:val="Heading1"/>
      </w:pPr>
      <w:r>
        <w:t>7. Fitur Utama dan Keunikan</w:t>
      </w:r>
    </w:p>
    <w:p>
      <w:pPr>
        <w:pStyle w:val="Heading2"/>
      </w:pPr>
      <w:r>
        <w:t>7.1 Fitur yang telah berjalan</w:t>
      </w:r>
    </w:p>
    <w:p>
      <w:pPr>
        <w:pStyle w:val="ListBullet"/>
        <w:spacing w:line="360" w:lineRule="auto" w:after="80"/>
      </w:pPr>
      <w:r>
        <w:rPr>
          <w:rFonts w:ascii="Times New Roman" w:hAnsi="Times New Roman"/>
          <w:b w:val="0"/>
          <w:i w:val="0"/>
        </w:rPr>
        <w:t>Akun dan onboarding: registrasi, konfirmasi email, login, logout, lupa dan reset password, profil usaha, outlet, target harian, serta katalog awal opsional.</w:t>
      </w:r>
    </w:p>
    <w:p>
      <w:pPr>
        <w:pStyle w:val="ListBullet"/>
        <w:spacing w:line="360" w:lineRule="auto" w:after="80"/>
      </w:pPr>
      <w:r>
        <w:rPr>
          <w:rFonts w:ascii="Times New Roman" w:hAnsi="Times New Roman"/>
          <w:b w:val="0"/>
          <w:i w:val="0"/>
        </w:rPr>
        <w:t>Kasir: pencarian menu, filter kategori, kuantitas, catatan item, diskon, pajak yang dapat dikonfigurasi, metode tunai/QRIS/transfer, validasi uang tunai, dan struk.</w:t>
      </w:r>
    </w:p>
    <w:p>
      <w:pPr>
        <w:pStyle w:val="ListBullet"/>
        <w:spacing w:line="360" w:lineRule="auto" w:after="80"/>
      </w:pPr>
      <w:r>
        <w:rPr>
          <w:rFonts w:ascii="Times New Roman" w:hAnsi="Times New Roman"/>
          <w:b w:val="0"/>
          <w:i w:val="0"/>
        </w:rPr>
        <w:t>Menu dan bahan: pengelolaan menu aktif/nonaktif, harga, resep, bahan, supplier, batas pesan ulang, stok awal, dan stok opname.</w:t>
      </w:r>
    </w:p>
    <w:p>
      <w:pPr>
        <w:pStyle w:val="ListBullet"/>
        <w:spacing w:line="360" w:lineRule="auto" w:after="80"/>
      </w:pPr>
      <w:r>
        <w:rPr>
          <w:rFonts w:ascii="Times New Roman" w:hAnsi="Times New Roman"/>
          <w:b w:val="0"/>
          <w:i w:val="0"/>
        </w:rPr>
        <w:t>Pembelian: pencatatan manual atau hasil pindai nota yang ditinjau pengguna, penambahan stok, dan pembaruan biaya rata-rata bergerak.</w:t>
      </w:r>
    </w:p>
    <w:p>
      <w:pPr>
        <w:pStyle w:val="ListBullet"/>
        <w:spacing w:line="360" w:lineRule="auto" w:after="80"/>
      </w:pPr>
      <w:r>
        <w:rPr>
          <w:rFonts w:ascii="Times New Roman" w:hAnsi="Times New Roman"/>
          <w:b w:val="0"/>
          <w:i w:val="0"/>
        </w:rPr>
        <w:t>Pelanggan: data kontak, jumlah kunjungan, total belanja, poin, dan segmen berdasarkan kebaruan serta frekuensi kunjungan.</w:t>
      </w:r>
    </w:p>
    <w:p>
      <w:pPr>
        <w:pStyle w:val="ListBullet"/>
        <w:spacing w:line="360" w:lineRule="auto" w:after="80"/>
      </w:pPr>
      <w:r>
        <w:rPr>
          <w:rFonts w:ascii="Times New Roman" w:hAnsi="Times New Roman"/>
          <w:b w:val="0"/>
          <w:i w:val="0"/>
        </w:rPr>
        <w:t>Keuangan dan tim: riwayat transaksi, omzet, HPP historis, laba kotor, pengeluaran, ekspor CSV, keanggotaan berbasis peran, dan undangan email.</w:t>
      </w:r>
    </w:p>
    <w:p>
      <w:pPr>
        <w:pStyle w:val="ListBullet"/>
        <w:spacing w:line="360" w:lineRule="auto" w:after="80"/>
      </w:pPr>
      <w:r>
        <w:rPr>
          <w:rFonts w:ascii="Times New Roman" w:hAnsi="Times New Roman"/>
          <w:b w:val="0"/>
          <w:i w:val="0"/>
        </w:rPr>
        <w:t>Panduan: pengenalan awal, tur yang dapat diulang, dan pencarian bantuan yang terhubung ke halaman terkait.</w:t>
      </w:r>
    </w:p>
    <w:p>
      <w:pPr>
        <w:pStyle w:val="Heading2"/>
      </w:pPr>
      <w:r>
        <w:t>7.2 Keunikan dibanding alur kerja manual</w:t>
      </w:r>
    </w:p>
    <w:p>
      <w:pPr>
        <w:spacing w:line="360" w:lineRule="auto" w:after="120"/>
      </w:pPr>
      <w:r>
        <w:rPr>
          <w:rFonts w:ascii="Times New Roman" w:hAnsi="Times New Roman"/>
          <w:b w:val="0"/>
          <w:i w:val="0"/>
        </w:rPr>
        <w:t>Keunikan Laris terletak pada gabungan tiga hal dalam satu alur: pencatatan yang saling terhubung pada tingkat resep, bantuan pencatatan berbahasa Indonesia, dan perilaku cadangan yang eksplisit ketika layanan AI tidak tersedia. Dibandingkan alur manual yang memakai catatan pesanan, lembar stok, dan rekap terpisah, satu checkout di Laris langsung memperbarui catatan terkait sehingga rekonsiliasi ganda berkurang.</w:t>
      </w:r>
    </w:p>
    <w:p>
      <w:pPr>
        <w:spacing w:line="360" w:lineRule="auto" w:after="120"/>
      </w:pPr>
      <w:r>
        <w:rPr>
          <w:rFonts w:ascii="Times New Roman" w:hAnsi="Times New Roman"/>
          <w:b w:val="0"/>
          <w:i w:val="0"/>
        </w:rPr>
        <w:t>Dokumen ini tidak mengklaim bahwa produk POS komersial lain tidak memiliki kemampuan serupa, karena belum dilakukan pembandingan fitur terhadap produk bernama. Perbandingan yang disajikan adalah terhadap praktik pencatatan manual yang menjadi titik awal banyak usaha mikro.</w:t>
      </w:r>
    </w:p>
    <w:p>
      <w:pPr>
        <w:pStyle w:val="Heading2"/>
      </w:pPr>
      <w:r>
        <w:t>7.3 Otomasi dengan konfirmasi manusia</w:t>
      </w:r>
    </w:p>
    <w:p>
      <w:pPr>
        <w:spacing w:line="360" w:lineRule="auto" w:after="120"/>
      </w:pPr>
      <w:r>
        <w:rPr>
          <w:rFonts w:ascii="Times New Roman" w:hAnsi="Times New Roman"/>
          <w:b w:val="0"/>
          <w:i w:val="0"/>
        </w:rPr>
        <w:t>Parser pesanan memetakan teks Bahasa Indonesia ke item katalog aktif, kuantitas, metode pembayaran, dan catatan. Item di luar katalog ditandai sebagai tidak dikenal agar ditinjau. Pengenalan suara peramban dapat mengisi teks bila didukung, dan pengetikan tetap tersedia. Hasil parsing menyiapkan pesanan; pembayaran tetap memerlukan konfirmasi pengguna.</w:t>
      </w:r>
    </w:p>
    <w:p>
      <w:pPr>
        <w:spacing w:line="360" w:lineRule="auto" w:after="120"/>
      </w:pPr>
      <w:r>
        <w:rPr>
          <w:rFonts w:ascii="Times New Roman" w:hAnsi="Times New Roman"/>
          <w:b w:val="0"/>
          <w:i w:val="0"/>
        </w:rPr>
        <w:t>Pada mode cloud terautentikasi, Gemini dapat membaca nota pembelian dan mencocokkan baris belanja hanya dengan ID bahan yang tersedia. Route memvalidasi keluaran model, menormalkan satuan yang didukung, dan melewati baris yang tidak dapat dikonversi dengan aman. Tanpa model, OCR cloud melaporkan kegagalan dan pencatatan manual tetap dapat dipakai; simulasi OCR hanya ada di demo lokal dan diberi label simulasi.</w:t>
      </w:r>
    </w:p>
    <w:p>
      <w:pPr>
        <w:spacing w:line="360" w:lineRule="auto" w:after="120"/>
      </w:pPr>
      <w:r>
        <w:rPr>
          <w:rFonts w:ascii="Times New Roman" w:hAnsi="Times New Roman"/>
          <w:b w:val="0"/>
          <w:i w:val="0"/>
        </w:rPr>
        <w:t>Tanya Laris menjawab pertanyaan dengan tools baca yang telah ditentukan untuk omzet, laba, stok menipis, menu terlaris, segmen pelanggan, dan pengeluaran. Bila model tidak tersedia, jawaban aturan lokal diberikan dengan label sumber. Batas waktu permintaan dan pembatalan mencegah jawaban usang masuk ke dialog yang sudah ditutup atau berubah.</w:t>
      </w:r>
    </w:p>
    <w:p>
      <w:pPr>
        <w:pStyle w:val="Heading1"/>
      </w:pPr>
      <w:r>
        <w:t>8. Keamanan dan Integritas Data</w:t>
      </w:r>
    </w:p>
    <w:p>
      <w:pPr>
        <w:pStyle w:val="Heading2"/>
      </w:pPr>
      <w:r>
        <w:t>8.1 Batas transaksi yang dapat dipercaya</w:t>
      </w:r>
    </w:p>
    <w:p>
      <w:pPr>
        <w:spacing w:line="360" w:lineRule="auto" w:after="120"/>
      </w:pPr>
      <w:r>
        <w:rPr>
          <w:rFonts w:ascii="Times New Roman" w:hAnsi="Times New Roman"/>
          <w:b w:val="0"/>
          <w:i w:val="0"/>
        </w:rPr>
        <w:t>Checkout cloud memanggil fungsi complete_sale melalui Server Action terautentikasi. Fungsi tersebut memeriksa keanggotaan dan peran, status menu aktif, kuantitas 1–999, batas diskon terhadap subtotal, kecukupan stok bahan sesuai resep, serta kecukupan uang tunai. Subtotal, pajak, dan total dihitung di server berdasarkan harga katalog dan tarif pajak usaha, bukan dari nilai yang dikirim klien.</w:t>
      </w:r>
    </w:p>
    <w:p>
      <w:pPr>
        <w:spacing w:line="360" w:lineRule="auto" w:after="120"/>
      </w:pPr>
      <w:r>
        <w:rPr>
          <w:rFonts w:ascii="Times New Roman" w:hAnsi="Times New Roman"/>
          <w:b w:val="0"/>
          <w:i w:val="0"/>
        </w:rPr>
        <w:t>Pesanan, arsip item, pembayaran, pengurangan stok, pembaruan pelanggan, dan audit log ditulis dalam satu transaksi fungsi basis data. Kunci idempotensi membuat permintaan yang terulang mengembalikan pesanan yang sama, bukan membuat transaksi ganda. Penulisan katalog dan checkout memakai lock per business agar harga, resep, dan stok tidak terbaca dari versi katalog yang berbeda.</w:t>
      </w:r>
    </w:p>
    <w:p>
      <w:pPr>
        <w:pStyle w:val="Heading2"/>
      </w:pPr>
      <w:r>
        <w:t>8.2 Kontrol akses dan validasi</w:t>
      </w:r>
    </w:p>
    <w:p>
      <w:pPr>
        <w:pStyle w:val="ListBullet"/>
        <w:spacing w:line="360" w:lineRule="auto" w:after="80"/>
      </w:pPr>
      <w:r>
        <w:rPr>
          <w:rFonts w:ascii="Times New Roman" w:hAnsi="Times New Roman"/>
          <w:b w:val="0"/>
          <w:i w:val="0"/>
        </w:rPr>
        <w:t>Row Level Security diaktifkan dan dipaksa pada tabel tenant; pembacaan dibatasi keanggotaan, dan tabel ledger tidak menerima penulisan langsung dari klien.</w:t>
      </w:r>
    </w:p>
    <w:p>
      <w:pPr>
        <w:pStyle w:val="ListBullet"/>
        <w:spacing w:line="360" w:lineRule="auto" w:after="80"/>
      </w:pPr>
      <w:r>
        <w:rPr>
          <w:rFonts w:ascii="Times New Roman" w:hAnsi="Times New Roman"/>
          <w:b w:val="0"/>
          <w:i w:val="0"/>
        </w:rPr>
        <w:t>Mutasi penting berjalan lewat fungsi SECURITY DEFINER yang memeriksa ulang peran, sehingga pembatasan tidak bergantung pada tampilan antarmuka.</w:t>
      </w:r>
    </w:p>
    <w:p>
      <w:pPr>
        <w:pStyle w:val="ListBullet"/>
        <w:spacing w:line="360" w:lineRule="auto" w:after="80"/>
      </w:pPr>
      <w:r>
        <w:rPr>
          <w:rFonts w:ascii="Times New Roman" w:hAnsi="Times New Roman"/>
          <w:b w:val="0"/>
          <w:i w:val="0"/>
        </w:rPr>
        <w:t>Service-role key dan kunci AI hanya dipakai di server. Bucket gambar menu bersifat publik untuk menampilkan foto produk, bukan untuk dokumen rahasia.</w:t>
      </w:r>
    </w:p>
    <w:p>
      <w:pPr>
        <w:pStyle w:val="ListBullet"/>
        <w:spacing w:line="360" w:lineRule="auto" w:after="80"/>
      </w:pPr>
      <w:r>
        <w:rPr>
          <w:rFonts w:ascii="Times New Roman" w:hAnsi="Times New Roman"/>
          <w:b w:val="0"/>
          <w:i w:val="0"/>
        </w:rPr>
        <w:t>Penghapusan data cloud bersifat soft delete agar riwayat transaksi dan ledger tetap utuh; bahan yang masih dipakai resep tidak dapat dihapus.</w:t>
      </w:r>
    </w:p>
    <w:p>
      <w:pPr>
        <w:pStyle w:val="ListBullet"/>
        <w:spacing w:line="360" w:lineRule="auto" w:after="80"/>
      </w:pPr>
      <w:r>
        <w:rPr>
          <w:rFonts w:ascii="Times New Roman" w:hAnsi="Times New Roman"/>
          <w:b w:val="0"/>
          <w:i w:val="0"/>
        </w:rPr>
        <w:t>Ekspor CSV menetralkan potensi injeksi formula spreadsheet, dan unggahan gambar dibatasi jenis serta ukurannya.</w:t>
      </w:r>
    </w:p>
    <w:p>
      <w:pPr>
        <w:pStyle w:val="ListBullet"/>
        <w:spacing w:line="360" w:lineRule="auto" w:after="80"/>
      </w:pPr>
      <w:r>
        <w:rPr>
          <w:rFonts w:ascii="Times New Roman" w:hAnsi="Times New Roman"/>
          <w:b w:val="0"/>
          <w:i w:val="0"/>
        </w:rPr>
        <w:t>Permintaan AI dibatasi rate limit per pengguna atau IP, dan telemetri mencatat keberhasilan serta kegagalan pemanggilan model.</w:t>
      </w:r>
    </w:p>
    <w:p>
      <w:pPr>
        <w:pStyle w:val="Heading2"/>
      </w:pPr>
      <w:r>
        <w:t>8.3 Batas klaim keamanan</w:t>
      </w:r>
    </w:p>
    <w:p>
      <w:pPr>
        <w:spacing w:line="360" w:lineRule="auto" w:after="120"/>
      </w:pPr>
      <w:r>
        <w:rPr>
          <w:rFonts w:ascii="Times New Roman" w:hAnsi="Times New Roman"/>
          <w:b w:val="0"/>
          <w:i w:val="0"/>
        </w:rPr>
        <w:t>Poin-poin di atas adalah kontrol yang telah diimplementasikan, bukan sertifikasi keamanan. Sebelum dipakai dengan data pelanggan nyata, deployment masih memerlukan uji isolasi tenant pada environment tujuan, pengelolaan rahasia, verifikasi backup dan pemulihan, serta telaah privasi dan retensi data. Skrip uji RLS terhadap Supabase tersedia pada repositori, namun belum dijalankan ulang untuk penyusunan dokumen ini.</w:t>
      </w:r>
    </w:p>
    <w:p>
      <w:pPr>
        <w:pStyle w:val="Heading1"/>
      </w:pPr>
      <w:r>
        <w:t>9. Verifikasi dan Pengujian</w:t>
      </w:r>
    </w:p>
    <w:p>
      <w:pPr>
        <w:spacing w:line="360" w:lineRule="auto" w:after="120"/>
      </w:pPr>
      <w:r>
        <w:rPr>
          <w:rFonts w:ascii="Times New Roman" w:hAnsi="Times New Roman"/>
          <w:b w:val="0"/>
          <w:i w:val="0"/>
        </w:rPr>
        <w:t>Pemeriksaan berikut dijalankan pada mesin pengembangan dan seluruhnya lulus.</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spacing w:line="240" w:lineRule="auto"/>
            </w:pPr>
            <w:r/>
            <w:r>
              <w:rPr>
                <w:rFonts w:ascii="Times New Roman" w:hAnsi="Times New Roman"/>
                <w:b/>
                <w:sz w:val="21"/>
              </w:rPr>
              <w:t>Pemeriksaan</w:t>
            </w:r>
          </w:p>
        </w:tc>
        <w:tc>
          <w:tcPr>
            <w:tcW w:type="dxa" w:w="2646"/>
          </w:tcPr>
          <w:p>
            <w:pPr>
              <w:spacing w:line="240" w:lineRule="auto"/>
            </w:pPr>
            <w:r/>
            <w:r>
              <w:rPr>
                <w:rFonts w:ascii="Times New Roman" w:hAnsi="Times New Roman"/>
                <w:b/>
                <w:sz w:val="21"/>
              </w:rPr>
              <w:t>Perintah</w:t>
            </w:r>
          </w:p>
        </w:tc>
        <w:tc>
          <w:tcPr>
            <w:tcW w:type="dxa" w:w="2646"/>
          </w:tcPr>
          <w:p>
            <w:pPr>
              <w:spacing w:line="240" w:lineRule="auto"/>
            </w:pPr>
            <w:r/>
            <w:r>
              <w:rPr>
                <w:rFonts w:ascii="Times New Roman" w:hAnsi="Times New Roman"/>
                <w:b/>
                <w:sz w:val="21"/>
              </w:rPr>
              <w:t>Hasil</w:t>
            </w:r>
          </w:p>
        </w:tc>
      </w:tr>
      <w:tr>
        <w:tc>
          <w:tcPr>
            <w:tcW w:type="dxa" w:w="2646"/>
          </w:tcPr>
          <w:p>
            <w:pPr>
              <w:spacing w:line="240" w:lineRule="auto"/>
            </w:pPr>
            <w:r/>
            <w:r>
              <w:rPr>
                <w:rFonts w:ascii="Times New Roman" w:hAnsi="Times New Roman"/>
                <w:sz w:val="21"/>
              </w:rPr>
              <w:t>Tipe TypeScript</w:t>
            </w:r>
          </w:p>
        </w:tc>
        <w:tc>
          <w:tcPr>
            <w:tcW w:type="dxa" w:w="2646"/>
          </w:tcPr>
          <w:p>
            <w:pPr>
              <w:spacing w:line="240" w:lineRule="auto"/>
            </w:pPr>
            <w:r/>
            <w:r>
              <w:rPr>
                <w:rFonts w:ascii="Times New Roman" w:hAnsi="Times New Roman"/>
                <w:sz w:val="21"/>
              </w:rPr>
              <w:t>npm run typecheck</w:t>
            </w:r>
          </w:p>
        </w:tc>
        <w:tc>
          <w:tcPr>
            <w:tcW w:type="dxa" w:w="2646"/>
          </w:tcPr>
          <w:p>
            <w:pPr>
              <w:spacing w:line="240" w:lineRule="auto"/>
            </w:pPr>
            <w:r/>
            <w:r>
              <w:rPr>
                <w:rFonts w:ascii="Times New Roman" w:hAnsi="Times New Roman"/>
                <w:sz w:val="21"/>
              </w:rPr>
              <w:t>Lulus tanpa error</w:t>
            </w:r>
          </w:p>
        </w:tc>
      </w:tr>
      <w:tr>
        <w:tc>
          <w:tcPr>
            <w:tcW w:type="dxa" w:w="2646"/>
          </w:tcPr>
          <w:p>
            <w:pPr>
              <w:spacing w:line="240" w:lineRule="auto"/>
            </w:pPr>
            <w:r/>
            <w:r>
              <w:rPr>
                <w:rFonts w:ascii="Times New Roman" w:hAnsi="Times New Roman"/>
                <w:sz w:val="21"/>
              </w:rPr>
              <w:t>Gaya kode</w:t>
            </w:r>
          </w:p>
        </w:tc>
        <w:tc>
          <w:tcPr>
            <w:tcW w:type="dxa" w:w="2646"/>
          </w:tcPr>
          <w:p>
            <w:pPr>
              <w:spacing w:line="240" w:lineRule="auto"/>
            </w:pPr>
            <w:r/>
            <w:r>
              <w:rPr>
                <w:rFonts w:ascii="Times New Roman" w:hAnsi="Times New Roman"/>
                <w:sz w:val="21"/>
              </w:rPr>
              <w:t>npm run lint</w:t>
            </w:r>
          </w:p>
        </w:tc>
        <w:tc>
          <w:tcPr>
            <w:tcW w:type="dxa" w:w="2646"/>
          </w:tcPr>
          <w:p>
            <w:pPr>
              <w:spacing w:line="240" w:lineRule="auto"/>
            </w:pPr>
            <w:r/>
            <w:r>
              <w:rPr>
                <w:rFonts w:ascii="Times New Roman" w:hAnsi="Times New Roman"/>
                <w:sz w:val="21"/>
              </w:rPr>
              <w:t>Lulus tanpa peringatan</w:t>
            </w:r>
          </w:p>
        </w:tc>
      </w:tr>
      <w:tr>
        <w:tc>
          <w:tcPr>
            <w:tcW w:type="dxa" w:w="2646"/>
          </w:tcPr>
          <w:p>
            <w:pPr>
              <w:spacing w:line="240" w:lineRule="auto"/>
            </w:pPr>
            <w:r/>
            <w:r>
              <w:rPr>
                <w:rFonts w:ascii="Times New Roman" w:hAnsi="Times New Roman"/>
                <w:sz w:val="21"/>
              </w:rPr>
              <w:t>Unit dan logika</w:t>
            </w:r>
          </w:p>
        </w:tc>
        <w:tc>
          <w:tcPr>
            <w:tcW w:type="dxa" w:w="2646"/>
          </w:tcPr>
          <w:p>
            <w:pPr>
              <w:spacing w:line="240" w:lineRule="auto"/>
            </w:pPr>
            <w:r/>
            <w:r>
              <w:rPr>
                <w:rFonts w:ascii="Times New Roman" w:hAnsi="Times New Roman"/>
                <w:sz w:val="21"/>
              </w:rPr>
              <w:t>npm test</w:t>
            </w:r>
          </w:p>
        </w:tc>
        <w:tc>
          <w:tcPr>
            <w:tcW w:type="dxa" w:w="2646"/>
          </w:tcPr>
          <w:p>
            <w:pPr>
              <w:spacing w:line="240" w:lineRule="auto"/>
            </w:pPr>
            <w:r/>
            <w:r>
              <w:rPr>
                <w:rFonts w:ascii="Times New Roman" w:hAnsi="Times New Roman"/>
                <w:sz w:val="21"/>
              </w:rPr>
              <w:t>147 dari 147 pengujian lulus</w:t>
            </w:r>
          </w:p>
        </w:tc>
      </w:tr>
      <w:tr>
        <w:tc>
          <w:tcPr>
            <w:tcW w:type="dxa" w:w="2646"/>
          </w:tcPr>
          <w:p>
            <w:pPr>
              <w:spacing w:line="240" w:lineRule="auto"/>
            </w:pPr>
            <w:r/>
            <w:r>
              <w:rPr>
                <w:rFonts w:ascii="Times New Roman" w:hAnsi="Times New Roman"/>
                <w:sz w:val="21"/>
              </w:rPr>
              <w:t>Parser pesanan</w:t>
            </w:r>
          </w:p>
        </w:tc>
        <w:tc>
          <w:tcPr>
            <w:tcW w:type="dxa" w:w="2646"/>
          </w:tcPr>
          <w:p>
            <w:pPr>
              <w:spacing w:line="240" w:lineRule="auto"/>
            </w:pPr>
            <w:r/>
            <w:r>
              <w:rPr>
                <w:rFonts w:ascii="Times New Roman" w:hAnsi="Times New Roman"/>
                <w:sz w:val="21"/>
              </w:rPr>
              <w:t>npm run eval:voice</w:t>
            </w:r>
          </w:p>
        </w:tc>
        <w:tc>
          <w:tcPr>
            <w:tcW w:type="dxa" w:w="2646"/>
          </w:tcPr>
          <w:p>
            <w:pPr>
              <w:spacing w:line="240" w:lineRule="auto"/>
            </w:pPr>
            <w:r/>
            <w:r>
              <w:rPr>
                <w:rFonts w:ascii="Times New Roman" w:hAnsi="Times New Roman"/>
                <w:sz w:val="21"/>
              </w:rPr>
              <w:t>50 dari 50 utterance cocok persis</w:t>
            </w:r>
          </w:p>
        </w:tc>
      </w:tr>
      <w:tr>
        <w:tc>
          <w:tcPr>
            <w:tcW w:type="dxa" w:w="2646"/>
          </w:tcPr>
          <w:p>
            <w:pPr>
              <w:spacing w:line="240" w:lineRule="auto"/>
            </w:pPr>
            <w:r/>
            <w:r>
              <w:rPr>
                <w:rFonts w:ascii="Times New Roman" w:hAnsi="Times New Roman"/>
                <w:sz w:val="21"/>
              </w:rPr>
              <w:t>Build produksi</w:t>
            </w:r>
          </w:p>
        </w:tc>
        <w:tc>
          <w:tcPr>
            <w:tcW w:type="dxa" w:w="2646"/>
          </w:tcPr>
          <w:p>
            <w:pPr>
              <w:spacing w:line="240" w:lineRule="auto"/>
            </w:pPr>
            <w:r/>
            <w:r>
              <w:rPr>
                <w:rFonts w:ascii="Times New Roman" w:hAnsi="Times New Roman"/>
                <w:sz w:val="21"/>
              </w:rPr>
              <w:t>npm run build</w:t>
            </w:r>
          </w:p>
        </w:tc>
        <w:tc>
          <w:tcPr>
            <w:tcW w:type="dxa" w:w="2646"/>
          </w:tcPr>
          <w:p>
            <w:pPr>
              <w:spacing w:line="240" w:lineRule="auto"/>
            </w:pPr>
            <w:r/>
            <w:r>
              <w:rPr>
                <w:rFonts w:ascii="Times New Roman" w:hAnsi="Times New Roman"/>
                <w:sz w:val="21"/>
              </w:rPr>
              <w:t>Build selesai</w:t>
            </w:r>
          </w:p>
        </w:tc>
      </w:tr>
    </w:tbl>
    <w:p>
      <w:pPr>
        <w:pStyle w:val="Caption"/>
        <w:spacing w:line="240" w:lineRule="auto" w:after="200"/>
        <w:jc w:val="center"/>
      </w:pPr>
      <w:r>
        <w:t>Tabel 2. Hasil pemeriksaan otomatis.</w:t>
      </w:r>
    </w:p>
    <w:p>
      <w:pPr>
        <w:spacing w:line="360" w:lineRule="auto" w:after="120"/>
      </w:pPr>
      <w:r>
        <w:rPr>
          <w:rFonts w:ascii="Times New Roman" w:hAnsi="Times New Roman"/>
          <w:b w:val="0"/>
          <w:i w:val="0"/>
        </w:rPr>
        <w:t>Cakupan pengujian meliputi ledger stok, alur checkout, validasi masukan, biaya rata-rata bergerak, HPP historis, keamanan ekspor CSV, pembatalan permintaan AI, serta konsistensi panduan dan tur dengan antarmuka yang benar-benar ada.</w:t>
      </w:r>
    </w:p>
    <w:p>
      <w:pPr>
        <w:spacing w:line="360" w:lineRule="auto" w:after="120"/>
      </w:pPr>
      <w:r>
        <w:rPr>
          <w:rFonts w:ascii="Times New Roman" w:hAnsi="Times New Roman"/>
          <w:b w:val="0"/>
          <w:i w:val="0"/>
        </w:rPr>
        <w:t>Angka 50 dari 50 pada eval:voice mengukur akurasi parser teks terhadap 50 kalimat pesanan Bahasa Indonesia di berkas evals/voice.jsonl dengan target PRD minimal 90 persen. Angka tersebut bukan akurasi pengenalan suara mikrofon, bukan uji beban, dan bukan ukuran dampak bisnis. Kualitas pengenalan suara bergantung pada peramban dan kondisi lingkungan pengguna.</w:t>
      </w:r>
    </w:p>
    <w:p>
      <w:pPr>
        <w:spacing w:line="360" w:lineRule="auto" w:after="120"/>
      </w:pPr>
      <w:r>
        <w:rPr>
          <w:rFonts w:ascii="Times New Roman" w:hAnsi="Times New Roman"/>
          <w:b w:val="0"/>
          <w:i w:val="0"/>
        </w:rPr>
        <w:t>Tangkapan layar pada bagian 11 diambil dari aplikasi yang berjalan di mode demo lokal. Pada pengambilan tersebut tidak ditemukan error runtime maupun pelebaran horizontal pada lebar 1366 dan 390 piksel.</w:t>
      </w:r>
    </w:p>
    <w:p>
      <w:pPr>
        <w:pStyle w:val="Heading1"/>
      </w:pPr>
      <w:r>
        <w:t>10. Batasan Sistem Aplikasi</w:t>
      </w:r>
    </w:p>
    <w:p>
      <w:pPr>
        <w:pStyle w:val="ListBullet"/>
        <w:spacing w:line="360" w:lineRule="auto" w:after="80"/>
      </w:pPr>
      <w:r>
        <w:rPr>
          <w:rFonts w:ascii="Times New Roman" w:hAnsi="Times New Roman"/>
          <w:b w:val="0"/>
          <w:i w:val="0"/>
        </w:rPr>
        <w:t>Metode pembayaran dicatat untuk keperluan pembukuan; aplikasi tidak memproses dana melalui payment gateway dan tidak melakukan rekonsiliasi pembayaran.</w:t>
      </w:r>
    </w:p>
    <w:p>
      <w:pPr>
        <w:pStyle w:val="ListBullet"/>
        <w:spacing w:line="360" w:lineRule="auto" w:after="80"/>
      </w:pPr>
      <w:r>
        <w:rPr>
          <w:rFonts w:ascii="Times New Roman" w:hAnsi="Times New Roman"/>
          <w:b w:val="0"/>
          <w:i w:val="0"/>
        </w:rPr>
        <w:t>Etalase online merupakan pratinjau pemesanan di dalam workspace, bukan toko publik yang terintegrasi dengan kanal pembayaran eksternal.</w:t>
      </w:r>
    </w:p>
    <w:p>
      <w:pPr>
        <w:pStyle w:val="ListBullet"/>
        <w:spacing w:line="360" w:lineRule="auto" w:after="80"/>
      </w:pPr>
      <w:r>
        <w:rPr>
          <w:rFonts w:ascii="Times New Roman" w:hAnsi="Times New Roman"/>
          <w:b w:val="0"/>
          <w:i w:val="0"/>
        </w:rPr>
        <w:t>Alur antarmuka saat ini difokuskan pada satu outlet utama per usaha, meskipun skema basis data telah menyediakan kolom outlet.</w:t>
      </w:r>
    </w:p>
    <w:p>
      <w:pPr>
        <w:pStyle w:val="ListBullet"/>
        <w:spacing w:line="360" w:lineRule="auto" w:after="80"/>
      </w:pPr>
      <w:r>
        <w:rPr>
          <w:rFonts w:ascii="Times New Roman" w:hAnsi="Times New Roman"/>
          <w:b w:val="0"/>
          <w:i w:val="0"/>
        </w:rPr>
        <w:t>Fitur AI berbasis Gemini hanya aktif pada mode cloud untuk pengguna yang telah masuk; mode demo memakai parser lokal dan simulasi berlabel.</w:t>
      </w:r>
    </w:p>
    <w:p>
      <w:pPr>
        <w:pStyle w:val="ListBullet"/>
        <w:spacing w:line="360" w:lineRule="auto" w:after="80"/>
      </w:pPr>
      <w:r>
        <w:rPr>
          <w:rFonts w:ascii="Times New Roman" w:hAnsi="Times New Roman"/>
          <w:b w:val="0"/>
          <w:i w:val="0"/>
        </w:rPr>
        <w:t>Rate limit AI disimpan di memori per instance server, sehingga batas global lintas instance memerlukan penyimpanan bersama seperti Redis.</w:t>
      </w:r>
    </w:p>
    <w:p>
      <w:pPr>
        <w:pStyle w:val="ListBullet"/>
        <w:spacing w:line="360" w:lineRule="auto" w:after="80"/>
      </w:pPr>
      <w:r>
        <w:rPr>
          <w:rFonts w:ascii="Times New Roman" w:hAnsi="Times New Roman"/>
          <w:b w:val="0"/>
          <w:i w:val="0"/>
        </w:rPr>
        <w:t>Mode demo lokal menyimpan data di peramban dan tidak tersambung ke cloud; data demo tidak dipindahkan menjadi data usaha.</w:t>
      </w:r>
    </w:p>
    <w:p>
      <w:pPr>
        <w:pStyle w:val="ListBullet"/>
        <w:spacing w:line="360" w:lineRule="auto" w:after="80"/>
      </w:pPr>
      <w:r>
        <w:rPr>
          <w:rFonts w:ascii="Times New Roman" w:hAnsi="Times New Roman"/>
          <w:b w:val="0"/>
          <w:i w:val="0"/>
        </w:rPr>
        <w:t>Audit aksesibilitas menyeluruh, uji performa pada perangkat kelas bawah, dan uji beban belum dilakukan.</w:t>
      </w:r>
    </w:p>
    <w:p>
      <w:pPr>
        <w:pStyle w:val="ListBullet"/>
        <w:spacing w:line="360" w:lineRule="auto" w:after="80"/>
      </w:pPr>
      <w:r>
        <w:rPr>
          <w:rFonts w:ascii="Times New Roman" w:hAnsi="Times New Roman"/>
          <w:b w:val="0"/>
          <w:i w:val="0"/>
        </w:rPr>
        <w:t>Komponen workspace utama masih berukuran besar dalam satu berkas; pemecahan menjadi modul per fitur menjadi pekerjaan perbaikan kualitas kode.</w:t>
      </w:r>
    </w:p>
    <w:p>
      <w:pPr>
        <w:pStyle w:val="Heading1"/>
      </w:pPr>
      <w:r>
        <w:t>11. Tangkapan Layar Antarmuka yang Telah Diimplementasikan</w:t>
      </w:r>
    </w:p>
    <w:p>
      <w:pPr>
        <w:spacing w:line="360" w:lineRule="auto" w:after="120"/>
      </w:pPr>
      <w:r>
        <w:rPr>
          <w:rFonts w:ascii="Times New Roman" w:hAnsi="Times New Roman"/>
          <w:b w:val="0"/>
          <w:i w:val="0"/>
        </w:rPr>
        <w:t>Gambar 4 sampai 7 adalah tangkapan layar apa adanya dari aplikasi yang berjalan pada mode demo lokal dengan data fiktif Kopi Senja. Tidak ada transaksi nyata, dana, maupun data pelanggan asli pada gambar-gambar ini.</w:t>
      </w:r>
    </w:p>
    <w:p>
      <w:pPr>
        <w:spacing w:after="40"/>
        <w:jc w:val="center"/>
      </w:pPr>
      <w:r>
        <w:drawing>
          <wp:inline xmlns:a="http://schemas.openxmlformats.org/drawingml/2006/main" xmlns:pic="http://schemas.openxmlformats.org/drawingml/2006/picture">
            <wp:extent cx="5040000" cy="3320644"/>
            <wp:docPr id="4" name="Picture 4"/>
            <wp:cNvGraphicFramePr>
              <a:graphicFrameLocks noChangeAspect="1"/>
            </wp:cNvGraphicFramePr>
            <a:graphic>
              <a:graphicData uri="http://schemas.openxmlformats.org/drawingml/2006/picture">
                <pic:pic>
                  <pic:nvPicPr>
                    <pic:cNvPr id="0" name="overview.png"/>
                    <pic:cNvPicPr/>
                  </pic:nvPicPr>
                  <pic:blipFill>
                    <a:blip r:embed="rId13"/>
                    <a:stretch>
                      <a:fillRect/>
                    </a:stretch>
                  </pic:blipFill>
                  <pic:spPr>
                    <a:xfrm>
                      <a:off x="0" y="0"/>
                      <a:ext cx="5040000" cy="3320644"/>
                    </a:xfrm>
                    <a:prstGeom prst="rect"/>
                  </pic:spPr>
                </pic:pic>
              </a:graphicData>
            </a:graphic>
          </wp:inline>
        </w:drawing>
      </w:r>
    </w:p>
    <w:p>
      <w:pPr>
        <w:pStyle w:val="Caption"/>
        <w:spacing w:line="240" w:lineRule="auto" w:after="200"/>
        <w:jc w:val="center"/>
      </w:pPr>
      <w:r>
        <w:t>Gambar 4. Halaman Ringkasan pada 1366 x 900: ringkasan penjualan, jumlah transaksi, rata-rata belanja, laba kotor, dan grafik penjualan.</w:t>
      </w:r>
    </w:p>
    <w:p>
      <w:pPr>
        <w:spacing w:after="40"/>
        <w:jc w:val="center"/>
      </w:pPr>
      <w:r>
        <w:drawing>
          <wp:inline xmlns:a="http://schemas.openxmlformats.org/drawingml/2006/main" xmlns:pic="http://schemas.openxmlformats.org/drawingml/2006/picture">
            <wp:extent cx="5040000" cy="3320644"/>
            <wp:docPr id="5" name="Picture 5"/>
            <wp:cNvGraphicFramePr>
              <a:graphicFrameLocks noChangeAspect="1"/>
            </wp:cNvGraphicFramePr>
            <a:graphic>
              <a:graphicData uri="http://schemas.openxmlformats.org/drawingml/2006/picture">
                <pic:pic>
                  <pic:nvPicPr>
                    <pic:cNvPr id="0" name="pos.png"/>
                    <pic:cNvPicPr/>
                  </pic:nvPicPr>
                  <pic:blipFill>
                    <a:blip r:embed="rId14"/>
                    <a:stretch>
                      <a:fillRect/>
                    </a:stretch>
                  </pic:blipFill>
                  <pic:spPr>
                    <a:xfrm>
                      <a:off x="0" y="0"/>
                      <a:ext cx="5040000" cy="3320644"/>
                    </a:xfrm>
                    <a:prstGeom prst="rect"/>
                  </pic:spPr>
                </pic:pic>
              </a:graphicData>
            </a:graphic>
          </wp:inline>
        </w:drawing>
      </w:r>
    </w:p>
    <w:p>
      <w:pPr>
        <w:pStyle w:val="Caption"/>
        <w:spacing w:line="240" w:lineRule="auto" w:after="200"/>
        <w:jc w:val="center"/>
      </w:pPr>
      <w:r>
        <w:t>Gambar 5. Halaman Kasir pada 1366 x 900 dengan satu contoh item di keranjang, diskon, pajak, dan total pesanan. Pengambilan gambar ini tidak mengirim pembayaran.</w:t>
      </w:r>
    </w:p>
    <w:p>
      <w:pPr>
        <w:spacing w:after="40"/>
        <w:jc w:val="center"/>
      </w:pPr>
      <w:r>
        <w:drawing>
          <wp:inline xmlns:a="http://schemas.openxmlformats.org/drawingml/2006/main" xmlns:pic="http://schemas.openxmlformats.org/drawingml/2006/picture">
            <wp:extent cx="5040000" cy="3320644"/>
            <wp:docPr id="6" name="Picture 6"/>
            <wp:cNvGraphicFramePr>
              <a:graphicFrameLocks noChangeAspect="1"/>
            </wp:cNvGraphicFramePr>
            <a:graphic>
              <a:graphicData uri="http://schemas.openxmlformats.org/drawingml/2006/picture">
                <pic:pic>
                  <pic:nvPicPr>
                    <pic:cNvPr id="0" name="inventory.png"/>
                    <pic:cNvPicPr/>
                  </pic:nvPicPr>
                  <pic:blipFill>
                    <a:blip r:embed="rId15"/>
                    <a:stretch>
                      <a:fillRect/>
                    </a:stretch>
                  </pic:blipFill>
                  <pic:spPr>
                    <a:xfrm>
                      <a:off x="0" y="0"/>
                      <a:ext cx="5040000" cy="3320644"/>
                    </a:xfrm>
                    <a:prstGeom prst="rect"/>
                  </pic:spPr>
                </pic:pic>
              </a:graphicData>
            </a:graphic>
          </wp:inline>
        </w:drawing>
      </w:r>
    </w:p>
    <w:p>
      <w:pPr>
        <w:pStyle w:val="Caption"/>
        <w:spacing w:line="240" w:lineRule="auto" w:after="200"/>
        <w:jc w:val="center"/>
      </w:pPr>
      <w:r>
        <w:t>Gambar 6. Halaman Stok bahan pada 1366 x 900: sisa stok, satuan dasar, dan batas pesan ulang.</w:t>
      </w:r>
    </w:p>
    <w:p>
      <w:pPr>
        <w:spacing w:after="40"/>
        <w:jc w:val="center"/>
      </w:pPr>
      <w:r>
        <w:drawing>
          <wp:inline xmlns:a="http://schemas.openxmlformats.org/drawingml/2006/main" xmlns:pic="http://schemas.openxmlformats.org/drawingml/2006/picture">
            <wp:extent cx="1512000" cy="3272123"/>
            <wp:docPr id="7" name="Picture 7"/>
            <wp:cNvGraphicFramePr>
              <a:graphicFrameLocks noChangeAspect="1"/>
            </wp:cNvGraphicFramePr>
            <a:graphic>
              <a:graphicData uri="http://schemas.openxmlformats.org/drawingml/2006/picture">
                <pic:pic>
                  <pic:nvPicPr>
                    <pic:cNvPr id="0" name="pos-mobile.png"/>
                    <pic:cNvPicPr/>
                  </pic:nvPicPr>
                  <pic:blipFill>
                    <a:blip r:embed="rId16"/>
                    <a:stretch>
                      <a:fillRect/>
                    </a:stretch>
                  </pic:blipFill>
                  <pic:spPr>
                    <a:xfrm>
                      <a:off x="0" y="0"/>
                      <a:ext cx="1512000" cy="3272123"/>
                    </a:xfrm>
                    <a:prstGeom prst="rect"/>
                  </pic:spPr>
                </pic:pic>
              </a:graphicData>
            </a:graphic>
          </wp:inline>
        </w:drawing>
      </w:r>
    </w:p>
    <w:p>
      <w:pPr>
        <w:pStyle w:val="Caption"/>
        <w:spacing w:line="240" w:lineRule="auto" w:after="200"/>
        <w:jc w:val="center"/>
      </w:pPr>
      <w:r>
        <w:t>Gambar 7. Halaman Kasir pada 390 x 844: navigasi ringkas dan tombol keranjang yang tetap terjangkau pada layar ponsel.</w:t>
      </w:r>
    </w:p>
    <w:p>
      <w:pPr>
        <w:spacing w:line="360" w:lineRule="auto" w:after="120"/>
        <w:ind w:left="283"/>
      </w:pPr>
      <w:r>
        <w:rPr>
          <w:rFonts w:ascii="Times New Roman" w:hAnsi="Times New Roman"/>
          <w:b w:val="0"/>
          <w:i/>
          <w:sz w:val="22"/>
        </w:rPr>
        <w:t>[OPSIONAL: tambahkan tangkapan layar mode cloud setelah deploy, misalnya halaman Keuangan dan Tim &amp; akses dari akun penjurian]</w:t>
      </w:r>
    </w:p>
    <w:p>
      <w:pPr>
        <w:pStyle w:val="Heading1"/>
      </w:pPr>
      <w:r>
        <w:t>12. Rencana Pengembangan Lanjutan</w:t>
      </w:r>
    </w:p>
    <w:p>
      <w:pPr>
        <w:pStyle w:val="ListNumber"/>
        <w:spacing w:line="360" w:lineRule="auto" w:after="80"/>
      </w:pPr>
      <w:r>
        <w:rPr>
          <w:rFonts w:ascii="Times New Roman" w:hAnsi="Times New Roman"/>
          <w:b w:val="0"/>
          <w:i w:val="0"/>
        </w:rPr>
        <w:t>Pilot bersama dua sampai tiga usaha F&amp;B untuk mengukur waktu pencatatan, selisih stok, dan kebutuhan laporan secara nyata.</w:t>
      </w:r>
    </w:p>
    <w:p>
      <w:pPr>
        <w:pStyle w:val="ListNumber"/>
        <w:spacing w:line="360" w:lineRule="auto" w:after="80"/>
      </w:pPr>
      <w:r>
        <w:rPr>
          <w:rFonts w:ascii="Times New Roman" w:hAnsi="Times New Roman"/>
          <w:b w:val="0"/>
          <w:i w:val="0"/>
        </w:rPr>
        <w:t>Dukungan multi-outlet penuh pada antarmuka, termasuk perbandingan kinerja antar outlet dan transfer stok.</w:t>
      </w:r>
    </w:p>
    <w:p>
      <w:pPr>
        <w:pStyle w:val="ListNumber"/>
        <w:spacing w:line="360" w:lineRule="auto" w:after="80"/>
      </w:pPr>
      <w:r>
        <w:rPr>
          <w:rFonts w:ascii="Times New Roman" w:hAnsi="Times New Roman"/>
          <w:b w:val="0"/>
          <w:i w:val="0"/>
        </w:rPr>
        <w:t>Integrasi pembayaran QRIS resmi beserta rekonsiliasi, setelah kepatuhan dan perjanjian penyedia terpenuhi.</w:t>
      </w:r>
    </w:p>
    <w:p>
      <w:pPr>
        <w:pStyle w:val="ListNumber"/>
        <w:spacing w:line="360" w:lineRule="auto" w:after="80"/>
      </w:pPr>
      <w:r>
        <w:rPr>
          <w:rFonts w:ascii="Times New Roman" w:hAnsi="Times New Roman"/>
          <w:b w:val="0"/>
          <w:i w:val="0"/>
        </w:rPr>
        <w:t>Penyimpanan rate limit bersama dan pemantauan terpusat untuk kesiapan skala.</w:t>
      </w:r>
    </w:p>
    <w:p>
      <w:pPr>
        <w:pStyle w:val="ListNumber"/>
        <w:spacing w:line="360" w:lineRule="auto" w:after="80"/>
      </w:pPr>
      <w:r>
        <w:rPr>
          <w:rFonts w:ascii="Times New Roman" w:hAnsi="Times New Roman"/>
          <w:b w:val="0"/>
          <w:i w:val="0"/>
        </w:rPr>
        <w:t>Pemecahan komponen workspace menjadi modul per fitur serta penambahan pengujian antarmuka otomatis.</w:t>
      </w:r>
    </w:p>
    <w:p>
      <w:pPr>
        <w:pStyle w:val="ListNumber"/>
        <w:spacing w:line="360" w:lineRule="auto" w:after="80"/>
      </w:pPr>
      <w:r>
        <w:rPr>
          <w:rFonts w:ascii="Times New Roman" w:hAnsi="Times New Roman"/>
          <w:b w:val="0"/>
          <w:i w:val="0"/>
        </w:rPr>
        <w:t>Audit aksesibilitas, optimasi perangkat kelas bawah, dan pengujian beban basis data.</w:t>
      </w:r>
    </w:p>
    <w:p>
      <w:pPr>
        <w:pStyle w:val="ListNumber"/>
        <w:spacing w:line="360" w:lineRule="auto" w:after="80"/>
      </w:pPr>
      <w:r>
        <w:rPr>
          <w:rFonts w:ascii="Times New Roman" w:hAnsi="Times New Roman"/>
          <w:b w:val="0"/>
          <w:i w:val="0"/>
        </w:rPr>
        <w:t>Laporan tambahan seperti proyeksi kebutuhan belanja berbasis riwayat, setelah data pilot mencukupi.</w:t>
      </w:r>
    </w:p>
    <w:p>
      <w:pPr>
        <w:pStyle w:val="Heading1"/>
      </w:pPr>
      <w:r>
        <w:t>13. Lisensi dan Atribusi Pihak Ketiga</w:t>
      </w:r>
    </w:p>
    <w:p>
      <w:pPr>
        <w:spacing w:line="360" w:lineRule="auto" w:after="120"/>
      </w:pPr>
      <w:r>
        <w:rPr>
          <w:rFonts w:ascii="Times New Roman" w:hAnsi="Times New Roman"/>
          <w:b w:val="0"/>
          <w:i w:val="0"/>
        </w:rPr>
        <w:t>Karya ini menggunakan pustaka open-source sesuai ketentuan lisensinya. Next.js, React, Tailwind CSS, TypeScript, Zod, Vercel AI SDK, pustaka klien Supabase, dan lucide-react didistribusikan dengan lisensi MIT atau ISC sebagaimana tercantum pada masing-masing paket di node_modules dan package-lock.json. Layanan Supabase dan Google Gemini dipakai sebagai layanan pihak ketiga melalui kredensial milik tim.</w:t>
      </w:r>
    </w:p>
    <w:p>
      <w:pPr>
        <w:spacing w:line="360" w:lineRule="auto" w:after="120"/>
        <w:ind w:left="283"/>
      </w:pPr>
      <w:r>
        <w:rPr>
          <w:rFonts w:ascii="Times New Roman" w:hAnsi="Times New Roman"/>
          <w:b w:val="0"/>
          <w:i/>
          <w:sz w:val="22"/>
        </w:rPr>
        <w:t>[LENGKAPI: sumber dan lisensi aset visual, termasuk gambar menu contoh dan ikon, bila berasal dari pihak ketiga]</w:t>
      </w:r>
    </w:p>
    <w:p>
      <w:pPr>
        <w:spacing w:line="360" w:lineRule="auto" w:after="120"/>
      </w:pPr>
      <w:r>
        <w:rPr>
          <w:rFonts w:ascii="Times New Roman" w:hAnsi="Times New Roman"/>
          <w:b w:val="0"/>
          <w:i w:val="0"/>
        </w:rPr>
        <w:t>Kode sumber tersedia pada repositori publik yang dicantumkan di halaman sampul. Berkas .env, service-role key, dan kunci API tidak disertakan dalam repositori.</w:t>
      </w:r>
    </w:p>
    <w:sectPr w:rsidR="00FC693F" w:rsidRPr="0006063C" w:rsidSect="00034616">
      <w:footerReference w:type="default" r:id="rId9"/>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A201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A201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1A201D"/>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